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855DB" w14:textId="46ED2440" w:rsidR="000D6E1F" w:rsidRPr="000C0FD5" w:rsidRDefault="000D6E1F" w:rsidP="00D46440">
      <w:pPr>
        <w:spacing w:after="0" w:line="240" w:lineRule="auto"/>
        <w:rPr>
          <w:rFonts w:ascii="Arial" w:hAnsi="Arial" w:cs="Arial"/>
          <w:b/>
        </w:rPr>
      </w:pPr>
      <w:r w:rsidRPr="000C0FD5">
        <w:rPr>
          <w:rFonts w:ascii="Arial" w:hAnsi="Arial" w:cs="Arial"/>
          <w:b/>
          <w:noProof/>
        </w:rPr>
        <w:drawing>
          <wp:anchor distT="0" distB="0" distL="114300" distR="114300" simplePos="0" relativeHeight="251658240" behindDoc="0" locked="0" layoutInCell="1" allowOverlap="1" wp14:anchorId="07724B24" wp14:editId="4561476B">
            <wp:simplePos x="0" y="0"/>
            <wp:positionH relativeFrom="margin">
              <wp:posOffset>6090285</wp:posOffset>
            </wp:positionH>
            <wp:positionV relativeFrom="margin">
              <wp:posOffset>-676275</wp:posOffset>
            </wp:positionV>
            <wp:extent cx="996698" cy="128930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GME_Logo_ACRO_redblack_rgb_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00BEDF26" w14:textId="77777777" w:rsidR="000D6E1F" w:rsidRPr="000C0FD5" w:rsidRDefault="000D6E1F" w:rsidP="00D46440">
      <w:pPr>
        <w:spacing w:after="0" w:line="240" w:lineRule="auto"/>
        <w:rPr>
          <w:rFonts w:ascii="Arial" w:hAnsi="Arial" w:cs="Arial"/>
          <w:b/>
        </w:rPr>
      </w:pPr>
    </w:p>
    <w:p w14:paraId="0CC309A7" w14:textId="77777777" w:rsidR="000D6E1F" w:rsidRPr="000C0FD5" w:rsidRDefault="000D6E1F" w:rsidP="00D46440">
      <w:pPr>
        <w:spacing w:after="0" w:line="240" w:lineRule="auto"/>
        <w:rPr>
          <w:rFonts w:ascii="Arial" w:hAnsi="Arial" w:cs="Arial"/>
          <w:b/>
        </w:rPr>
      </w:pPr>
    </w:p>
    <w:p w14:paraId="4388E1D7" w14:textId="61F34BD4" w:rsidR="00D46440" w:rsidRPr="000C0FD5" w:rsidRDefault="00D46440" w:rsidP="004C0306">
      <w:pPr>
        <w:spacing w:after="0" w:line="240" w:lineRule="auto"/>
        <w:jc w:val="center"/>
        <w:outlineLvl w:val="0"/>
        <w:rPr>
          <w:rFonts w:ascii="Arial" w:hAnsi="Arial" w:cs="Arial"/>
          <w:b/>
          <w:sz w:val="28"/>
        </w:rPr>
      </w:pPr>
      <w:r w:rsidRPr="000C0FD5">
        <w:rPr>
          <w:rFonts w:ascii="Arial" w:hAnsi="Arial" w:cs="Arial"/>
          <w:b/>
          <w:sz w:val="28"/>
        </w:rPr>
        <w:t xml:space="preserve">Request to </w:t>
      </w:r>
      <w:r w:rsidR="000D6E1F" w:rsidRPr="000C0FD5">
        <w:rPr>
          <w:rFonts w:ascii="Arial" w:hAnsi="Arial" w:cs="Arial"/>
          <w:b/>
          <w:sz w:val="28"/>
        </w:rPr>
        <w:t>A</w:t>
      </w:r>
      <w:r w:rsidRPr="000C0FD5">
        <w:rPr>
          <w:rFonts w:ascii="Arial" w:hAnsi="Arial" w:cs="Arial"/>
          <w:b/>
          <w:sz w:val="28"/>
        </w:rPr>
        <w:t xml:space="preserve">dd </w:t>
      </w:r>
      <w:r w:rsidR="00D06312" w:rsidRPr="000C0FD5">
        <w:rPr>
          <w:rFonts w:ascii="Arial" w:hAnsi="Arial" w:cs="Arial"/>
          <w:b/>
          <w:sz w:val="28"/>
        </w:rPr>
        <w:t xml:space="preserve">a Fundamental </w:t>
      </w:r>
      <w:r w:rsidRPr="000C0FD5">
        <w:rPr>
          <w:rFonts w:ascii="Arial" w:hAnsi="Arial" w:cs="Arial"/>
          <w:b/>
          <w:sz w:val="28"/>
        </w:rPr>
        <w:t>Clinical</w:t>
      </w:r>
      <w:r w:rsidR="00D06312" w:rsidRPr="000C0FD5">
        <w:rPr>
          <w:rFonts w:ascii="Arial" w:hAnsi="Arial" w:cs="Arial"/>
          <w:b/>
          <w:sz w:val="28"/>
        </w:rPr>
        <w:t xml:space="preserve"> Skills in Medical Education (Formerly Clinical</w:t>
      </w:r>
      <w:r w:rsidRPr="000C0FD5">
        <w:rPr>
          <w:rFonts w:ascii="Arial" w:hAnsi="Arial" w:cs="Arial"/>
          <w:b/>
          <w:sz w:val="28"/>
        </w:rPr>
        <w:t xml:space="preserve"> Base</w:t>
      </w:r>
      <w:r w:rsidR="00D06312" w:rsidRPr="000C0FD5">
        <w:rPr>
          <w:rFonts w:ascii="Arial" w:hAnsi="Arial" w:cs="Arial"/>
          <w:b/>
          <w:sz w:val="28"/>
        </w:rPr>
        <w:t>)</w:t>
      </w:r>
      <w:r w:rsidRPr="000C0FD5">
        <w:rPr>
          <w:rFonts w:ascii="Arial" w:hAnsi="Arial" w:cs="Arial"/>
          <w:b/>
          <w:sz w:val="28"/>
        </w:rPr>
        <w:t xml:space="preserve"> Year</w:t>
      </w:r>
    </w:p>
    <w:tbl>
      <w:tblPr>
        <w:tblStyle w:val="TableGrid"/>
        <w:tblpPr w:leftFromText="180" w:rightFromText="180" w:vertAnchor="page" w:horzAnchor="margin" w:tblpXSpec="center" w:tblpY="3256"/>
        <w:tblW w:w="7665"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2355"/>
        <w:gridCol w:w="5310"/>
      </w:tblGrid>
      <w:tr w:rsidR="000D6E1F" w:rsidRPr="000C0FD5" w14:paraId="567D8299" w14:textId="77777777" w:rsidTr="000C0FD5">
        <w:tc>
          <w:tcPr>
            <w:tcW w:w="2355" w:type="dxa"/>
          </w:tcPr>
          <w:p w14:paraId="73110F69" w14:textId="77777777" w:rsidR="000D6E1F" w:rsidRPr="000C0FD5" w:rsidRDefault="000D6E1F" w:rsidP="000D6E1F">
            <w:pPr>
              <w:pStyle w:val="ListParagraph"/>
              <w:spacing w:after="0" w:line="240" w:lineRule="auto"/>
              <w:ind w:left="0"/>
              <w:rPr>
                <w:rFonts w:ascii="Arial" w:hAnsi="Arial" w:cs="Arial"/>
                <w:b/>
                <w:color w:val="000000"/>
              </w:rPr>
            </w:pPr>
            <w:r w:rsidRPr="000C0FD5">
              <w:rPr>
                <w:rFonts w:ascii="Arial" w:hAnsi="Arial" w:cs="Arial"/>
                <w:b/>
                <w:color w:val="000000"/>
              </w:rPr>
              <w:t>Program Number</w:t>
            </w:r>
          </w:p>
        </w:tc>
        <w:tc>
          <w:tcPr>
            <w:tcW w:w="5310" w:type="dxa"/>
            <w:shd w:val="clear" w:color="auto" w:fill="F2F2F2"/>
          </w:tcPr>
          <w:p w14:paraId="7089187E" w14:textId="77777777" w:rsidR="000D6E1F" w:rsidRPr="000C0FD5" w:rsidRDefault="000D6E1F" w:rsidP="000D6E1F">
            <w:pPr>
              <w:pStyle w:val="ListParagraph"/>
              <w:spacing w:after="0" w:line="240" w:lineRule="auto"/>
              <w:ind w:left="0"/>
              <w:rPr>
                <w:rFonts w:ascii="Arial" w:hAnsi="Arial" w:cs="Arial"/>
                <w:color w:val="000000"/>
              </w:rPr>
            </w:pPr>
          </w:p>
        </w:tc>
      </w:tr>
      <w:tr w:rsidR="000D6E1F" w:rsidRPr="000C0FD5" w14:paraId="313F381D" w14:textId="77777777" w:rsidTr="000C0FD5">
        <w:tc>
          <w:tcPr>
            <w:tcW w:w="2355" w:type="dxa"/>
          </w:tcPr>
          <w:p w14:paraId="280805EB" w14:textId="77777777" w:rsidR="000D6E1F" w:rsidRPr="000C0FD5" w:rsidRDefault="000D6E1F" w:rsidP="000D6E1F">
            <w:pPr>
              <w:pStyle w:val="ListParagraph"/>
              <w:spacing w:after="0" w:line="240" w:lineRule="auto"/>
              <w:ind w:left="0"/>
              <w:rPr>
                <w:rFonts w:ascii="Arial" w:hAnsi="Arial" w:cs="Arial"/>
                <w:b/>
                <w:color w:val="000000"/>
              </w:rPr>
            </w:pPr>
            <w:r w:rsidRPr="000C0FD5">
              <w:rPr>
                <w:rFonts w:ascii="Arial" w:hAnsi="Arial" w:cs="Arial"/>
                <w:b/>
                <w:color w:val="000000"/>
              </w:rPr>
              <w:t>Program Name</w:t>
            </w:r>
          </w:p>
        </w:tc>
        <w:tc>
          <w:tcPr>
            <w:tcW w:w="5310" w:type="dxa"/>
            <w:shd w:val="clear" w:color="auto" w:fill="F2F2F2"/>
          </w:tcPr>
          <w:p w14:paraId="56D7D625" w14:textId="77777777" w:rsidR="000D6E1F" w:rsidRPr="000C0FD5" w:rsidRDefault="000D6E1F" w:rsidP="000D6E1F">
            <w:pPr>
              <w:pStyle w:val="ListParagraph"/>
              <w:spacing w:after="0" w:line="240" w:lineRule="auto"/>
              <w:ind w:left="0"/>
              <w:rPr>
                <w:rFonts w:ascii="Arial" w:hAnsi="Arial" w:cs="Arial"/>
                <w:color w:val="000000"/>
              </w:rPr>
            </w:pPr>
          </w:p>
        </w:tc>
      </w:tr>
      <w:tr w:rsidR="000D6E1F" w:rsidRPr="000C0FD5" w14:paraId="29304461" w14:textId="77777777" w:rsidTr="000C0FD5">
        <w:tc>
          <w:tcPr>
            <w:tcW w:w="2355" w:type="dxa"/>
          </w:tcPr>
          <w:p w14:paraId="61586EE0" w14:textId="77777777" w:rsidR="000D6E1F" w:rsidRPr="000C0FD5" w:rsidRDefault="000D6E1F" w:rsidP="000D6E1F">
            <w:pPr>
              <w:pStyle w:val="ListParagraph"/>
              <w:spacing w:after="0" w:line="240" w:lineRule="auto"/>
              <w:ind w:left="0"/>
              <w:rPr>
                <w:rFonts w:ascii="Arial" w:hAnsi="Arial" w:cs="Arial"/>
                <w:b/>
                <w:color w:val="000000"/>
              </w:rPr>
            </w:pPr>
            <w:r w:rsidRPr="000C0FD5">
              <w:rPr>
                <w:rFonts w:ascii="Arial" w:hAnsi="Arial" w:cs="Arial"/>
                <w:b/>
                <w:color w:val="000000"/>
              </w:rPr>
              <w:t>Program Director</w:t>
            </w:r>
          </w:p>
        </w:tc>
        <w:tc>
          <w:tcPr>
            <w:tcW w:w="5310" w:type="dxa"/>
            <w:shd w:val="clear" w:color="auto" w:fill="F2F2F2"/>
          </w:tcPr>
          <w:p w14:paraId="18A26603" w14:textId="77777777" w:rsidR="000D6E1F" w:rsidRPr="000C0FD5" w:rsidRDefault="000D6E1F" w:rsidP="000D6E1F">
            <w:pPr>
              <w:pStyle w:val="ListParagraph"/>
              <w:spacing w:after="0" w:line="240" w:lineRule="auto"/>
              <w:ind w:left="0"/>
              <w:rPr>
                <w:rFonts w:ascii="Arial" w:hAnsi="Arial" w:cs="Arial"/>
                <w:color w:val="000000"/>
              </w:rPr>
            </w:pPr>
          </w:p>
        </w:tc>
      </w:tr>
    </w:tbl>
    <w:p w14:paraId="754CDF20" w14:textId="77777777" w:rsidR="00AB35AC" w:rsidRPr="000C0FD5" w:rsidRDefault="00AB35AC" w:rsidP="000D6E1F">
      <w:pPr>
        <w:spacing w:after="0" w:line="240" w:lineRule="auto"/>
        <w:jc w:val="center"/>
        <w:rPr>
          <w:rFonts w:ascii="Arial" w:hAnsi="Arial" w:cs="Arial"/>
          <w:b/>
        </w:rPr>
      </w:pPr>
      <w:r w:rsidRPr="000C0FD5">
        <w:rPr>
          <w:rFonts w:ascii="Arial" w:hAnsi="Arial" w:cs="Arial"/>
          <w:b/>
        </w:rPr>
        <w:t>Review Committee for Anesthesiology</w:t>
      </w:r>
    </w:p>
    <w:p w14:paraId="2118CFA7" w14:textId="77777777" w:rsidR="00D46440" w:rsidRPr="000C0FD5" w:rsidRDefault="00D46440" w:rsidP="00D46440">
      <w:pPr>
        <w:spacing w:after="0" w:line="240" w:lineRule="auto"/>
        <w:rPr>
          <w:rFonts w:ascii="Arial" w:hAnsi="Arial" w:cs="Arial"/>
        </w:rPr>
      </w:pPr>
    </w:p>
    <w:p w14:paraId="4CEFC7CF" w14:textId="77777777" w:rsidR="00673208" w:rsidRPr="000C0FD5" w:rsidRDefault="00673208" w:rsidP="00D46440">
      <w:pPr>
        <w:spacing w:after="0" w:line="240" w:lineRule="auto"/>
        <w:rPr>
          <w:rFonts w:ascii="Arial" w:hAnsi="Arial" w:cs="Arial"/>
        </w:rPr>
      </w:pPr>
    </w:p>
    <w:p w14:paraId="25D1247F" w14:textId="77777777" w:rsidR="00EB1C00" w:rsidRPr="000C0FD5" w:rsidRDefault="00EB1C00" w:rsidP="00D46440">
      <w:pPr>
        <w:spacing w:after="0" w:line="240" w:lineRule="auto"/>
        <w:rPr>
          <w:rFonts w:ascii="Arial" w:hAnsi="Arial" w:cs="Arial"/>
        </w:rPr>
      </w:pPr>
    </w:p>
    <w:p w14:paraId="34B526A7" w14:textId="77777777" w:rsidR="000D6E1F" w:rsidRPr="000C0FD5" w:rsidRDefault="000D6E1F" w:rsidP="00D46440">
      <w:pPr>
        <w:spacing w:after="0" w:line="240" w:lineRule="auto"/>
        <w:rPr>
          <w:rFonts w:ascii="Arial" w:hAnsi="Arial" w:cs="Arial"/>
        </w:rPr>
      </w:pPr>
    </w:p>
    <w:p w14:paraId="0F0712F0" w14:textId="5912BA79" w:rsidR="000D6E1F" w:rsidRDefault="000D6E1F" w:rsidP="00D46440">
      <w:pPr>
        <w:spacing w:after="0" w:line="240" w:lineRule="auto"/>
        <w:rPr>
          <w:rFonts w:ascii="Arial" w:hAnsi="Arial" w:cs="Arial"/>
        </w:rPr>
      </w:pPr>
    </w:p>
    <w:p w14:paraId="3E889417" w14:textId="18A611EC" w:rsidR="000C0FD5" w:rsidRDefault="000C0FD5" w:rsidP="00D46440">
      <w:pPr>
        <w:spacing w:after="0" w:line="240" w:lineRule="auto"/>
        <w:rPr>
          <w:rFonts w:ascii="Arial" w:hAnsi="Arial" w:cs="Arial"/>
        </w:rPr>
      </w:pPr>
    </w:p>
    <w:p w14:paraId="29AD5AFF" w14:textId="77777777" w:rsidR="000D6E1F" w:rsidRPr="000C0FD5" w:rsidRDefault="000D6E1F" w:rsidP="00D46440">
      <w:pPr>
        <w:spacing w:after="0" w:line="240" w:lineRule="auto"/>
        <w:rPr>
          <w:rFonts w:ascii="Arial" w:hAnsi="Arial" w:cs="Arial"/>
        </w:rPr>
      </w:pPr>
    </w:p>
    <w:p w14:paraId="6371F3E0" w14:textId="1D6E4081" w:rsidR="00EB1C00" w:rsidRPr="000C0FD5" w:rsidRDefault="00EB1C00" w:rsidP="004C0306">
      <w:pPr>
        <w:spacing w:after="0" w:line="240" w:lineRule="auto"/>
        <w:outlineLvl w:val="0"/>
        <w:rPr>
          <w:rFonts w:ascii="Arial" w:hAnsi="Arial" w:cs="Arial"/>
          <w:sz w:val="28"/>
        </w:rPr>
      </w:pPr>
      <w:r w:rsidRPr="000C0FD5">
        <w:rPr>
          <w:rFonts w:ascii="Arial" w:hAnsi="Arial" w:cs="Arial"/>
          <w:sz w:val="28"/>
        </w:rPr>
        <w:t xml:space="preserve">Section I: Curriculum and Clinical Experience </w:t>
      </w:r>
    </w:p>
    <w:tbl>
      <w:tblPr>
        <w:tblStyle w:val="TableGrid1"/>
        <w:tblW w:w="10260" w:type="dxa"/>
        <w:tblInd w:w="8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10260"/>
      </w:tblGrid>
      <w:tr w:rsidR="00266FFA" w:rsidRPr="000C0FD5" w14:paraId="1CFE2778" w14:textId="77777777" w:rsidTr="000359E2">
        <w:trPr>
          <w:trHeight w:val="1996"/>
        </w:trPr>
        <w:tc>
          <w:tcPr>
            <w:tcW w:w="10260" w:type="dxa"/>
            <w:shd w:val="clear" w:color="auto" w:fill="FFFFFF" w:themeFill="background1"/>
            <w:tcMar>
              <w:top w:w="72" w:type="dxa"/>
              <w:left w:w="72" w:type="dxa"/>
              <w:bottom w:w="72" w:type="dxa"/>
              <w:right w:w="72" w:type="dxa"/>
            </w:tcMar>
          </w:tcPr>
          <w:p w14:paraId="25A5CD1D" w14:textId="4DB0EB6B" w:rsidR="00266FFA" w:rsidRPr="000C0FD5" w:rsidRDefault="00266FFA" w:rsidP="00266FFA">
            <w:pPr>
              <w:rPr>
                <w:b/>
              </w:rPr>
            </w:pPr>
            <w:r w:rsidRPr="000C0FD5">
              <w:rPr>
                <w:b/>
              </w:rPr>
              <w:t xml:space="preserve">1. Six </w:t>
            </w:r>
            <w:r w:rsidR="000D6E1F" w:rsidRPr="000C0FD5">
              <w:rPr>
                <w:b/>
              </w:rPr>
              <w:t>M</w:t>
            </w:r>
            <w:r w:rsidRPr="000C0FD5">
              <w:rPr>
                <w:b/>
              </w:rPr>
              <w:t>onths of Inpatient Care</w:t>
            </w:r>
          </w:p>
          <w:p w14:paraId="64BAAB39" w14:textId="22C55847" w:rsidR="00266FFA" w:rsidRPr="000C0FD5" w:rsidRDefault="00266FFA" w:rsidP="00971197">
            <w:pPr>
              <w:ind w:left="1282" w:hanging="1282"/>
              <w:rPr>
                <w:i/>
                <w:color w:val="808080" w:themeColor="background1" w:themeShade="80"/>
              </w:rPr>
            </w:pPr>
            <w:r w:rsidRPr="000C0FD5">
              <w:rPr>
                <w:i/>
                <w:color w:val="808080" w:themeColor="background1" w:themeShade="80"/>
              </w:rPr>
              <w:t>I</w:t>
            </w:r>
            <w:r w:rsidR="00DD2E28" w:rsidRPr="000C0FD5">
              <w:rPr>
                <w:i/>
                <w:color w:val="808080" w:themeColor="background1" w:themeShade="80"/>
              </w:rPr>
              <w:t>V.</w:t>
            </w:r>
            <w:r w:rsidR="00971197">
              <w:rPr>
                <w:i/>
                <w:color w:val="808080" w:themeColor="background1" w:themeShade="80"/>
              </w:rPr>
              <w:t>C.3.b)</w:t>
            </w:r>
            <w:r w:rsidRPr="000C0FD5">
              <w:rPr>
                <w:i/>
                <w:color w:val="808080" w:themeColor="background1" w:themeShade="80"/>
              </w:rPr>
              <w:t xml:space="preserve"> </w:t>
            </w:r>
            <w:r w:rsidR="00971197">
              <w:rPr>
                <w:i/>
                <w:color w:val="808080" w:themeColor="background1" w:themeShade="80"/>
              </w:rPr>
              <w:tab/>
            </w:r>
            <w:r w:rsidRPr="000C0FD5">
              <w:rPr>
                <w:i/>
                <w:color w:val="808080" w:themeColor="background1" w:themeShade="80"/>
              </w:rPr>
              <w:t xml:space="preserve">At least six months of </w:t>
            </w:r>
            <w:r w:rsidR="00761A3C" w:rsidRPr="000C0FD5">
              <w:rPr>
                <w:i/>
                <w:color w:val="808080" w:themeColor="background1" w:themeShade="80"/>
              </w:rPr>
              <w:t>fundamental clinical skills of medicine education</w:t>
            </w:r>
            <w:r w:rsidRPr="000C0FD5">
              <w:rPr>
                <w:i/>
                <w:color w:val="808080" w:themeColor="background1" w:themeShade="80"/>
              </w:rPr>
              <w:t xml:space="preserve"> must include experience in caring for inpatients in </w:t>
            </w:r>
            <w:r w:rsidR="00761A3C" w:rsidRPr="000C0FD5">
              <w:rPr>
                <w:i/>
                <w:color w:val="808080" w:themeColor="background1" w:themeShade="80"/>
              </w:rPr>
              <w:t xml:space="preserve">family medicine, </w:t>
            </w:r>
            <w:r w:rsidRPr="000C0FD5">
              <w:rPr>
                <w:i/>
                <w:color w:val="808080" w:themeColor="background1" w:themeShade="80"/>
              </w:rPr>
              <w:t>internal medicine,</w:t>
            </w:r>
            <w:r w:rsidR="00761A3C" w:rsidRPr="000C0FD5">
              <w:rPr>
                <w:i/>
                <w:color w:val="808080" w:themeColor="background1" w:themeShade="80"/>
              </w:rPr>
              <w:t xml:space="preserve"> neurology, </w:t>
            </w:r>
            <w:r w:rsidRPr="000C0FD5">
              <w:rPr>
                <w:i/>
                <w:color w:val="808080" w:themeColor="background1" w:themeShade="80"/>
              </w:rPr>
              <w:t xml:space="preserve"> </w:t>
            </w:r>
            <w:r w:rsidR="00761A3C" w:rsidRPr="000C0FD5">
              <w:rPr>
                <w:i/>
                <w:color w:val="808080" w:themeColor="background1" w:themeShade="80"/>
              </w:rPr>
              <w:t xml:space="preserve">obstetrics and gynecology, </w:t>
            </w:r>
            <w:r w:rsidRPr="000C0FD5">
              <w:rPr>
                <w:i/>
                <w:color w:val="808080" w:themeColor="background1" w:themeShade="80"/>
              </w:rPr>
              <w:t xml:space="preserve">pediatrics, surgery or any of the surgical specialties, or any combination of these. </w:t>
            </w:r>
            <w:r w:rsidR="00761A3C" w:rsidRPr="000C0FD5">
              <w:rPr>
                <w:i/>
                <w:color w:val="808080" w:themeColor="background1" w:themeShade="80"/>
                <w:vertAlign w:val="superscript"/>
              </w:rPr>
              <w:t>(Core)</w:t>
            </w:r>
          </w:p>
          <w:p w14:paraId="684793CE" w14:textId="2A6DB4C9" w:rsidR="00266FFA" w:rsidRPr="000C0FD5" w:rsidRDefault="00266FFA" w:rsidP="00971197">
            <w:pPr>
              <w:widowControl w:val="0"/>
              <w:ind w:left="1282" w:hanging="1282"/>
              <w:rPr>
                <w:i/>
                <w:color w:val="808080" w:themeColor="background1" w:themeShade="80"/>
              </w:rPr>
            </w:pPr>
            <w:r w:rsidRPr="000C0FD5">
              <w:rPr>
                <w:i/>
                <w:color w:val="808080" w:themeColor="background1" w:themeShade="80"/>
              </w:rPr>
              <w:t>FAQ</w:t>
            </w:r>
            <w:r w:rsidRPr="00E7690C">
              <w:rPr>
                <w:i/>
                <w:color w:val="808080" w:themeColor="background1" w:themeShade="80"/>
              </w:rPr>
              <w:t xml:space="preserve">: </w:t>
            </w:r>
            <w:r w:rsidR="00971197">
              <w:rPr>
                <w:i/>
                <w:color w:val="808080" w:themeColor="background1" w:themeShade="80"/>
              </w:rPr>
              <w:tab/>
            </w:r>
            <w:r w:rsidR="009178CA" w:rsidRPr="00E7690C">
              <w:rPr>
                <w:rFonts w:eastAsia="Times New Roman"/>
                <w:color w:val="808080" w:themeColor="background1" w:themeShade="80"/>
              </w:rPr>
              <w:t xml:space="preserve">Inpatient care involves basic medical care of individuals with common health problems and chronic illness. It encompasses both initial evaluation of a patient and continuity of care during the course of therapy, including initial diagnosis and treatment, management of acute and chronic conditions, preventive health services, and appropriate referral for a higher level of care when required. Inpatient care rotations should be designed to allow residents to develop fundamental clinical skills, as outlined in </w:t>
            </w:r>
            <w:r w:rsidR="009178CA" w:rsidRPr="00E7690C">
              <w:rPr>
                <w:rFonts w:eastAsia="+mn-ea"/>
                <w:color w:val="808080" w:themeColor="background1" w:themeShade="80"/>
              </w:rPr>
              <w:t xml:space="preserve">Program Requirement </w:t>
            </w:r>
            <w:r w:rsidR="009178CA" w:rsidRPr="00E7690C">
              <w:rPr>
                <w:color w:val="808080" w:themeColor="background1" w:themeShade="80"/>
              </w:rPr>
              <w:t>IV.</w:t>
            </w:r>
            <w:r w:rsidR="00971197">
              <w:rPr>
                <w:color w:val="808080" w:themeColor="background1" w:themeShade="80"/>
              </w:rPr>
              <w:t>B.1.b).(1).(a).</w:t>
            </w:r>
          </w:p>
        </w:tc>
      </w:tr>
    </w:tbl>
    <w:tbl>
      <w:tblPr>
        <w:tblStyle w:val="TableGrid"/>
        <w:tblW w:w="10260" w:type="dxa"/>
        <w:tblInd w:w="7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CellMar>
          <w:top w:w="72" w:type="dxa"/>
          <w:left w:w="72" w:type="dxa"/>
          <w:bottom w:w="72" w:type="dxa"/>
          <w:right w:w="72" w:type="dxa"/>
        </w:tblCellMar>
        <w:tblLook w:val="04A0" w:firstRow="1" w:lastRow="0" w:firstColumn="1" w:lastColumn="0" w:noHBand="0" w:noVBand="1"/>
      </w:tblPr>
      <w:tblGrid>
        <w:gridCol w:w="4960"/>
        <w:gridCol w:w="5300"/>
      </w:tblGrid>
      <w:tr w:rsidR="00673208" w:rsidRPr="000C0FD5" w14:paraId="741D6CF5" w14:textId="77777777" w:rsidTr="00AE02DB">
        <w:tc>
          <w:tcPr>
            <w:tcW w:w="4960" w:type="dxa"/>
            <w:vAlign w:val="center"/>
          </w:tcPr>
          <w:p w14:paraId="5D3CF411" w14:textId="28A8C0A8" w:rsidR="00AE02DB" w:rsidRPr="000C0FD5" w:rsidRDefault="00673208" w:rsidP="000359E2">
            <w:pPr>
              <w:pStyle w:val="ListParagraph"/>
              <w:numPr>
                <w:ilvl w:val="0"/>
                <w:numId w:val="5"/>
              </w:numPr>
              <w:spacing w:after="0" w:line="240" w:lineRule="auto"/>
              <w:rPr>
                <w:rFonts w:ascii="Arial" w:hAnsi="Arial" w:cs="Arial"/>
                <w:color w:val="000000" w:themeColor="text1"/>
              </w:rPr>
            </w:pPr>
            <w:r w:rsidRPr="000C0FD5">
              <w:rPr>
                <w:rFonts w:ascii="Arial" w:hAnsi="Arial" w:cs="Arial"/>
                <w:color w:val="000000" w:themeColor="text1"/>
              </w:rPr>
              <w:t xml:space="preserve">List the </w:t>
            </w:r>
            <w:r w:rsidR="00AE02DB" w:rsidRPr="000C0FD5">
              <w:rPr>
                <w:rFonts w:ascii="Arial" w:hAnsi="Arial" w:cs="Arial"/>
                <w:color w:val="000000" w:themeColor="text1"/>
              </w:rPr>
              <w:t xml:space="preserve">(at least six months of) </w:t>
            </w:r>
            <w:r w:rsidRPr="000C0FD5">
              <w:rPr>
                <w:rFonts w:ascii="Arial" w:hAnsi="Arial" w:cs="Arial"/>
                <w:color w:val="000000" w:themeColor="text1"/>
              </w:rPr>
              <w:t xml:space="preserve">inpatient care rotations in which residents will develop the </w:t>
            </w:r>
            <w:r w:rsidR="000D6E1F" w:rsidRPr="000C0FD5">
              <w:rPr>
                <w:rFonts w:ascii="Arial" w:hAnsi="Arial" w:cs="Arial"/>
                <w:color w:val="000000" w:themeColor="text1"/>
              </w:rPr>
              <w:t xml:space="preserve">following </w:t>
            </w:r>
            <w:r w:rsidRPr="000C0FD5">
              <w:rPr>
                <w:rFonts w:ascii="Arial" w:hAnsi="Arial" w:cs="Arial"/>
                <w:color w:val="000000" w:themeColor="text1"/>
              </w:rPr>
              <w:t>fundamental clinical skills</w:t>
            </w:r>
            <w:r w:rsidR="00AE02DB" w:rsidRPr="000C0FD5">
              <w:rPr>
                <w:rFonts w:ascii="Arial" w:hAnsi="Arial" w:cs="Arial"/>
                <w:color w:val="000000" w:themeColor="text1"/>
              </w:rPr>
              <w:t>:</w:t>
            </w:r>
          </w:p>
          <w:p w14:paraId="066C2957" w14:textId="77777777" w:rsidR="00AE02DB" w:rsidRPr="000C0FD5" w:rsidRDefault="00AE02DB" w:rsidP="000359E2">
            <w:pPr>
              <w:pStyle w:val="ListParagraph"/>
              <w:numPr>
                <w:ilvl w:val="1"/>
                <w:numId w:val="5"/>
              </w:numPr>
              <w:autoSpaceDE w:val="0"/>
              <w:autoSpaceDN w:val="0"/>
              <w:adjustRightInd w:val="0"/>
              <w:spacing w:after="0" w:line="240" w:lineRule="auto"/>
              <w:rPr>
                <w:rFonts w:ascii="Arial" w:hAnsi="Arial" w:cs="Arial"/>
              </w:rPr>
            </w:pPr>
            <w:r w:rsidRPr="000C0FD5">
              <w:rPr>
                <w:rFonts w:ascii="Arial" w:hAnsi="Arial" w:cs="Arial"/>
              </w:rPr>
              <w:t>how to obtain a comprehensive medical history</w:t>
            </w:r>
          </w:p>
          <w:p w14:paraId="7E7A9710" w14:textId="77777777" w:rsidR="00AE02DB" w:rsidRPr="000C0FD5" w:rsidRDefault="00AE02DB" w:rsidP="000359E2">
            <w:pPr>
              <w:pStyle w:val="ListParagraph"/>
              <w:numPr>
                <w:ilvl w:val="1"/>
                <w:numId w:val="5"/>
              </w:numPr>
              <w:autoSpaceDE w:val="0"/>
              <w:autoSpaceDN w:val="0"/>
              <w:adjustRightInd w:val="0"/>
              <w:spacing w:after="0" w:line="240" w:lineRule="auto"/>
              <w:rPr>
                <w:rFonts w:ascii="Arial" w:hAnsi="Arial" w:cs="Arial"/>
              </w:rPr>
            </w:pPr>
            <w:r w:rsidRPr="000C0FD5">
              <w:rPr>
                <w:rFonts w:ascii="Arial" w:hAnsi="Arial" w:cs="Arial"/>
              </w:rPr>
              <w:t>how to perform a comprehensive physical examination</w:t>
            </w:r>
          </w:p>
          <w:p w14:paraId="40024450" w14:textId="77777777" w:rsidR="00AE02DB" w:rsidRPr="000C0FD5" w:rsidRDefault="00AE02DB" w:rsidP="000359E2">
            <w:pPr>
              <w:pStyle w:val="ListParagraph"/>
              <w:numPr>
                <w:ilvl w:val="1"/>
                <w:numId w:val="5"/>
              </w:numPr>
              <w:autoSpaceDE w:val="0"/>
              <w:autoSpaceDN w:val="0"/>
              <w:adjustRightInd w:val="0"/>
              <w:spacing w:after="0" w:line="240" w:lineRule="auto"/>
              <w:rPr>
                <w:rFonts w:ascii="Arial" w:hAnsi="Arial" w:cs="Arial"/>
              </w:rPr>
            </w:pPr>
            <w:r w:rsidRPr="000C0FD5">
              <w:rPr>
                <w:rFonts w:ascii="Arial" w:hAnsi="Arial" w:cs="Arial"/>
              </w:rPr>
              <w:t>how to assess a patient’s medical conditions</w:t>
            </w:r>
          </w:p>
          <w:p w14:paraId="32038283" w14:textId="77777777" w:rsidR="00AE02DB" w:rsidRPr="000C0FD5" w:rsidRDefault="00AE02DB" w:rsidP="000359E2">
            <w:pPr>
              <w:pStyle w:val="ListParagraph"/>
              <w:numPr>
                <w:ilvl w:val="1"/>
                <w:numId w:val="5"/>
              </w:numPr>
              <w:autoSpaceDE w:val="0"/>
              <w:autoSpaceDN w:val="0"/>
              <w:adjustRightInd w:val="0"/>
              <w:spacing w:after="0" w:line="240" w:lineRule="auto"/>
              <w:rPr>
                <w:rFonts w:ascii="Arial" w:hAnsi="Arial" w:cs="Arial"/>
              </w:rPr>
            </w:pPr>
            <w:r w:rsidRPr="000C0FD5">
              <w:rPr>
                <w:rFonts w:ascii="Arial" w:hAnsi="Arial" w:cs="Arial"/>
              </w:rPr>
              <w:t>how to make appropriate use of diagnostic studies and tests</w:t>
            </w:r>
          </w:p>
          <w:p w14:paraId="4BB2A013" w14:textId="77777777" w:rsidR="00AE02DB" w:rsidRPr="000C0FD5" w:rsidRDefault="00AE02DB" w:rsidP="000359E2">
            <w:pPr>
              <w:pStyle w:val="ListParagraph"/>
              <w:numPr>
                <w:ilvl w:val="1"/>
                <w:numId w:val="5"/>
              </w:numPr>
              <w:autoSpaceDE w:val="0"/>
              <w:autoSpaceDN w:val="0"/>
              <w:adjustRightInd w:val="0"/>
              <w:spacing w:after="0" w:line="240" w:lineRule="auto"/>
              <w:rPr>
                <w:rFonts w:ascii="Arial" w:hAnsi="Arial" w:cs="Arial"/>
              </w:rPr>
            </w:pPr>
            <w:r w:rsidRPr="000C0FD5">
              <w:rPr>
                <w:rFonts w:ascii="Arial" w:hAnsi="Arial" w:cs="Arial"/>
              </w:rPr>
              <w:t>how to integrate information to develop a differential diagnosis</w:t>
            </w:r>
          </w:p>
          <w:p w14:paraId="1EB3D37E" w14:textId="77777777" w:rsidR="00673208" w:rsidRPr="000C0FD5" w:rsidRDefault="00AE02DB" w:rsidP="000359E2">
            <w:pPr>
              <w:pStyle w:val="ListParagraph"/>
              <w:numPr>
                <w:ilvl w:val="1"/>
                <w:numId w:val="5"/>
              </w:numPr>
              <w:autoSpaceDE w:val="0"/>
              <w:autoSpaceDN w:val="0"/>
              <w:adjustRightInd w:val="0"/>
              <w:spacing w:after="0" w:line="240" w:lineRule="auto"/>
              <w:rPr>
                <w:rFonts w:ascii="Arial" w:hAnsi="Arial" w:cs="Arial"/>
              </w:rPr>
            </w:pPr>
            <w:r w:rsidRPr="000C0FD5">
              <w:rPr>
                <w:rFonts w:ascii="Arial" w:hAnsi="Arial" w:cs="Arial"/>
              </w:rPr>
              <w:t>how to implement a treatment plan</w:t>
            </w:r>
          </w:p>
        </w:tc>
        <w:tc>
          <w:tcPr>
            <w:tcW w:w="5300" w:type="dxa"/>
            <w:shd w:val="clear" w:color="auto" w:fill="F2F2F2"/>
          </w:tcPr>
          <w:p w14:paraId="73C55366" w14:textId="77777777" w:rsidR="00673208" w:rsidRPr="000C0FD5" w:rsidRDefault="00673208" w:rsidP="00AE02DB">
            <w:pPr>
              <w:pStyle w:val="ListParagraph"/>
              <w:spacing w:after="0" w:line="240" w:lineRule="auto"/>
              <w:ind w:left="0"/>
              <w:rPr>
                <w:rFonts w:ascii="Arial" w:hAnsi="Arial" w:cs="Arial"/>
              </w:rPr>
            </w:pPr>
          </w:p>
        </w:tc>
      </w:tr>
      <w:tr w:rsidR="00EB1C00" w:rsidRPr="000C0FD5" w14:paraId="16057DBB" w14:textId="77777777" w:rsidTr="00AE02DB">
        <w:tc>
          <w:tcPr>
            <w:tcW w:w="4960" w:type="dxa"/>
            <w:vAlign w:val="center"/>
          </w:tcPr>
          <w:p w14:paraId="27E9EB6A" w14:textId="77777777" w:rsidR="00EB1C00" w:rsidRPr="000C0FD5" w:rsidRDefault="00EB1C00" w:rsidP="000359E2">
            <w:pPr>
              <w:pStyle w:val="ListParagraph"/>
              <w:numPr>
                <w:ilvl w:val="0"/>
                <w:numId w:val="5"/>
              </w:numPr>
              <w:spacing w:after="0" w:line="240" w:lineRule="auto"/>
              <w:rPr>
                <w:rFonts w:ascii="Arial" w:hAnsi="Arial" w:cs="Arial"/>
                <w:color w:val="000000" w:themeColor="text1"/>
              </w:rPr>
            </w:pPr>
            <w:r w:rsidRPr="000C0FD5">
              <w:rPr>
                <w:rFonts w:ascii="Arial" w:hAnsi="Arial" w:cs="Arial"/>
                <w:color w:val="000000" w:themeColor="text1"/>
              </w:rPr>
              <w:t xml:space="preserve">Explain how these rotations develop </w:t>
            </w:r>
            <w:r w:rsidR="00662C45" w:rsidRPr="000C0FD5">
              <w:rPr>
                <w:rFonts w:ascii="Arial" w:hAnsi="Arial" w:cs="Arial"/>
                <w:color w:val="000000" w:themeColor="text1"/>
              </w:rPr>
              <w:t>residents’</w:t>
            </w:r>
            <w:r w:rsidRPr="000C0FD5">
              <w:rPr>
                <w:rFonts w:ascii="Arial" w:hAnsi="Arial" w:cs="Arial"/>
                <w:color w:val="000000" w:themeColor="text1"/>
              </w:rPr>
              <w:t xml:space="preserve"> fundamental clinical skills.</w:t>
            </w:r>
          </w:p>
        </w:tc>
        <w:tc>
          <w:tcPr>
            <w:tcW w:w="5300" w:type="dxa"/>
            <w:shd w:val="clear" w:color="auto" w:fill="F2F2F2"/>
          </w:tcPr>
          <w:p w14:paraId="53F91773" w14:textId="77777777" w:rsidR="00EB1C00" w:rsidRPr="000C0FD5" w:rsidRDefault="00EB1C00" w:rsidP="00AE02DB">
            <w:pPr>
              <w:pStyle w:val="ListParagraph"/>
              <w:spacing w:after="0" w:line="240" w:lineRule="auto"/>
              <w:ind w:left="0"/>
              <w:rPr>
                <w:rFonts w:ascii="Arial" w:hAnsi="Arial" w:cs="Arial"/>
              </w:rPr>
            </w:pPr>
          </w:p>
        </w:tc>
      </w:tr>
    </w:tbl>
    <w:p w14:paraId="009D841F" w14:textId="77777777" w:rsidR="00971197" w:rsidRDefault="00971197">
      <w:r>
        <w:br w:type="page"/>
      </w:r>
    </w:p>
    <w:tbl>
      <w:tblPr>
        <w:tblStyle w:val="TableGrid"/>
        <w:tblW w:w="10260" w:type="dxa"/>
        <w:tblInd w:w="7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CellMar>
          <w:top w:w="72" w:type="dxa"/>
          <w:left w:w="72" w:type="dxa"/>
          <w:bottom w:w="72" w:type="dxa"/>
          <w:right w:w="72" w:type="dxa"/>
        </w:tblCellMar>
        <w:tblLook w:val="04A0" w:firstRow="1" w:lastRow="0" w:firstColumn="1" w:lastColumn="0" w:noHBand="0" w:noVBand="1"/>
      </w:tblPr>
      <w:tblGrid>
        <w:gridCol w:w="4960"/>
        <w:gridCol w:w="5300"/>
      </w:tblGrid>
      <w:tr w:rsidR="00266FFA" w:rsidRPr="000C0FD5" w14:paraId="6664FC0E" w14:textId="77777777" w:rsidTr="00FE1D74">
        <w:tc>
          <w:tcPr>
            <w:tcW w:w="10260" w:type="dxa"/>
            <w:gridSpan w:val="2"/>
            <w:vAlign w:val="center"/>
          </w:tcPr>
          <w:p w14:paraId="0CD0B594" w14:textId="08D22336" w:rsidR="00DD2E28" w:rsidRPr="000C0FD5" w:rsidRDefault="003F2925" w:rsidP="00266FFA">
            <w:pPr>
              <w:rPr>
                <w:rFonts w:ascii="Arial" w:hAnsi="Arial" w:cs="Arial"/>
                <w:b/>
              </w:rPr>
            </w:pPr>
            <w:r w:rsidRPr="000C0FD5">
              <w:rPr>
                <w:rFonts w:ascii="Arial" w:hAnsi="Arial" w:cs="Arial"/>
                <w:b/>
              </w:rPr>
              <w:t xml:space="preserve">2. One to </w:t>
            </w:r>
            <w:r w:rsidR="00266FFA" w:rsidRPr="000C0FD5">
              <w:rPr>
                <w:rFonts w:ascii="Arial" w:hAnsi="Arial" w:cs="Arial"/>
                <w:b/>
              </w:rPr>
              <w:t xml:space="preserve">Two Months of Critical Care Medicine </w:t>
            </w:r>
          </w:p>
          <w:p w14:paraId="7FA8B22B" w14:textId="190316C5" w:rsidR="00266FFA" w:rsidRPr="00E7690C" w:rsidRDefault="00DD2E28" w:rsidP="00971197">
            <w:pPr>
              <w:ind w:left="1282" w:hanging="1282"/>
              <w:rPr>
                <w:rFonts w:ascii="Arial" w:hAnsi="Arial" w:cs="Arial"/>
                <w:i/>
                <w:color w:val="808080" w:themeColor="background1" w:themeShade="80"/>
              </w:rPr>
            </w:pPr>
            <w:r w:rsidRPr="00E7690C">
              <w:rPr>
                <w:rFonts w:ascii="Arial" w:hAnsi="Arial" w:cs="Arial"/>
                <w:i/>
                <w:color w:val="808080" w:themeColor="background1" w:themeShade="80"/>
              </w:rPr>
              <w:t>IV</w:t>
            </w:r>
            <w:r w:rsidR="00266FFA" w:rsidRPr="00E7690C">
              <w:rPr>
                <w:rFonts w:ascii="Arial" w:hAnsi="Arial" w:cs="Arial"/>
                <w:i/>
                <w:color w:val="808080" w:themeColor="background1" w:themeShade="80"/>
              </w:rPr>
              <w:t>.</w:t>
            </w:r>
            <w:r w:rsidR="00971197">
              <w:rPr>
                <w:rFonts w:ascii="Arial" w:hAnsi="Arial" w:cs="Arial"/>
                <w:i/>
                <w:color w:val="808080" w:themeColor="background1" w:themeShade="80"/>
              </w:rPr>
              <w:t>C.4</w:t>
            </w:r>
            <w:r w:rsidR="00266FFA" w:rsidRPr="00E7690C">
              <w:rPr>
                <w:rFonts w:ascii="Arial" w:hAnsi="Arial" w:cs="Arial"/>
                <w:i/>
                <w:color w:val="808080" w:themeColor="background1" w:themeShade="80"/>
              </w:rPr>
              <w:t xml:space="preserve">  </w:t>
            </w:r>
            <w:r w:rsidR="00971197">
              <w:rPr>
                <w:rFonts w:ascii="Arial" w:hAnsi="Arial" w:cs="Arial"/>
                <w:i/>
                <w:color w:val="808080" w:themeColor="background1" w:themeShade="80"/>
              </w:rPr>
              <w:tab/>
            </w:r>
            <w:r w:rsidR="00C93B0C" w:rsidRPr="00E7690C">
              <w:rPr>
                <w:rFonts w:ascii="Arial" w:hAnsi="Arial" w:cs="Arial"/>
                <w:i/>
                <w:color w:val="808080" w:themeColor="background1" w:themeShade="80"/>
              </w:rPr>
              <w:t>During the first 12 months of the program</w:t>
            </w:r>
            <w:r w:rsidR="00266FFA" w:rsidRPr="00E7690C">
              <w:rPr>
                <w:rFonts w:ascii="Arial" w:hAnsi="Arial" w:cs="Arial"/>
                <w:i/>
                <w:color w:val="808080" w:themeColor="background1" w:themeShade="80"/>
              </w:rPr>
              <w:t>, there</w:t>
            </w:r>
            <w:r w:rsidR="00C93B0C" w:rsidRPr="00E7690C">
              <w:rPr>
                <w:rFonts w:ascii="Arial" w:hAnsi="Arial" w:cs="Arial"/>
                <w:i/>
                <w:color w:val="808080" w:themeColor="background1" w:themeShade="80"/>
              </w:rPr>
              <w:t xml:space="preserve"> must </w:t>
            </w:r>
            <w:r w:rsidR="00266FFA" w:rsidRPr="00E7690C">
              <w:rPr>
                <w:rFonts w:ascii="Arial" w:hAnsi="Arial" w:cs="Arial"/>
                <w:i/>
                <w:color w:val="808080" w:themeColor="background1" w:themeShade="80"/>
              </w:rPr>
              <w:t>be</w:t>
            </w:r>
            <w:r w:rsidR="00C93B0C" w:rsidRPr="00E7690C">
              <w:rPr>
                <w:rFonts w:ascii="Arial" w:hAnsi="Arial" w:cs="Arial"/>
                <w:i/>
                <w:color w:val="808080" w:themeColor="background1" w:themeShade="80"/>
              </w:rPr>
              <w:t xml:space="preserve"> at least one month, </w:t>
            </w:r>
            <w:r w:rsidR="00266FFA" w:rsidRPr="00E7690C">
              <w:rPr>
                <w:rFonts w:ascii="Arial" w:hAnsi="Arial" w:cs="Arial"/>
                <w:i/>
                <w:color w:val="808080" w:themeColor="background1" w:themeShade="80"/>
              </w:rPr>
              <w:t xml:space="preserve"> </w:t>
            </w:r>
            <w:r w:rsidR="00C93B0C" w:rsidRPr="00E7690C">
              <w:rPr>
                <w:rFonts w:ascii="Arial" w:hAnsi="Arial" w:cs="Arial"/>
                <w:i/>
                <w:color w:val="808080" w:themeColor="background1" w:themeShade="80"/>
              </w:rPr>
              <w:t xml:space="preserve">but not more than two month(s) each of </w:t>
            </w:r>
            <w:r w:rsidR="00266FFA" w:rsidRPr="00E7690C">
              <w:rPr>
                <w:rFonts w:ascii="Arial" w:hAnsi="Arial" w:cs="Arial"/>
                <w:i/>
                <w:color w:val="808080" w:themeColor="background1" w:themeShade="80"/>
              </w:rPr>
              <w:t>critical care and emergency medicine</w:t>
            </w:r>
            <w:r w:rsidR="00C93B0C" w:rsidRPr="00E7690C">
              <w:rPr>
                <w:rFonts w:ascii="Arial" w:hAnsi="Arial" w:cs="Arial"/>
                <w:i/>
                <w:color w:val="808080" w:themeColor="background1" w:themeShade="80"/>
              </w:rPr>
              <w:t xml:space="preserve">. </w:t>
            </w:r>
            <w:r w:rsidR="00C93B0C" w:rsidRPr="00E7690C">
              <w:rPr>
                <w:rFonts w:ascii="Arial" w:hAnsi="Arial" w:cs="Arial"/>
                <w:i/>
                <w:color w:val="808080" w:themeColor="background1" w:themeShade="80"/>
                <w:vertAlign w:val="superscript"/>
              </w:rPr>
              <w:t>(Core)</w:t>
            </w:r>
          </w:p>
          <w:p w14:paraId="3CF73FC1" w14:textId="745C80EB" w:rsidR="007C5289" w:rsidRPr="00E7690C" w:rsidRDefault="00266FFA" w:rsidP="00971197">
            <w:pPr>
              <w:widowControl w:val="0"/>
              <w:ind w:left="1282" w:hanging="1282"/>
              <w:rPr>
                <w:rFonts w:ascii="Arial" w:hAnsi="Arial" w:cs="Arial"/>
                <w:i/>
                <w:color w:val="808080" w:themeColor="background1" w:themeShade="80"/>
              </w:rPr>
            </w:pPr>
            <w:r w:rsidRPr="00E7690C">
              <w:rPr>
                <w:rFonts w:ascii="Arial" w:hAnsi="Arial" w:cs="Arial"/>
                <w:i/>
                <w:color w:val="808080" w:themeColor="background1" w:themeShade="80"/>
              </w:rPr>
              <w:t>FAQ:</w:t>
            </w:r>
            <w:r w:rsidR="007C5289" w:rsidRPr="00E7690C">
              <w:rPr>
                <w:rFonts w:ascii="Arial" w:hAnsi="Arial" w:cs="Arial"/>
                <w:i/>
                <w:color w:val="808080" w:themeColor="background1" w:themeShade="80"/>
              </w:rPr>
              <w:t xml:space="preserve"> </w:t>
            </w:r>
            <w:r w:rsidR="00971197">
              <w:rPr>
                <w:rFonts w:ascii="Arial" w:hAnsi="Arial" w:cs="Arial"/>
                <w:i/>
                <w:color w:val="808080" w:themeColor="background1" w:themeShade="80"/>
              </w:rPr>
              <w:tab/>
            </w:r>
            <w:r w:rsidR="007C5289" w:rsidRPr="00E7690C">
              <w:rPr>
                <w:rFonts w:ascii="Arial" w:eastAsia="Times New Roman" w:hAnsi="Arial" w:cs="Arial"/>
                <w:color w:val="808080" w:themeColor="background1" w:themeShade="80"/>
              </w:rPr>
              <w:t>Critical care is the specialized care of patients who have life threatening conditions. These conditions require comprehensive intensive care and constant monitoring in an ICU or equivalent. If a rotation involves the care of patients requiring short-term overnight care in post-anesthesia units, intermediate/step-down or transitional care units, or emergency departments, and does not include ongoing clinical assessment and management of critical illness, then it does not fulfill the critical care requirement.</w:t>
            </w:r>
          </w:p>
          <w:p w14:paraId="05C80B45" w14:textId="735E26C6" w:rsidR="00266FFA" w:rsidRPr="000C0FD5" w:rsidRDefault="00971197" w:rsidP="00971197">
            <w:pPr>
              <w:widowControl w:val="0"/>
              <w:ind w:left="1282"/>
              <w:rPr>
                <w:rFonts w:ascii="Arial" w:hAnsi="Arial" w:cs="Arial"/>
              </w:rPr>
            </w:pPr>
            <w:r>
              <w:rPr>
                <w:rFonts w:ascii="Arial" w:eastAsia="+mn-ea" w:hAnsi="Arial" w:cs="Arial"/>
                <w:color w:val="808080" w:themeColor="background1" w:themeShade="80"/>
              </w:rPr>
              <w:t xml:space="preserve">An ICU </w:t>
            </w:r>
            <w:r w:rsidR="009178CA" w:rsidRPr="00E7690C">
              <w:rPr>
                <w:rFonts w:ascii="Arial" w:eastAsia="+mn-ea" w:hAnsi="Arial" w:cs="Arial"/>
                <w:color w:val="808080" w:themeColor="background1" w:themeShade="80"/>
              </w:rPr>
              <w:t xml:space="preserve">rotation can serve as inpatient experience in the </w:t>
            </w:r>
            <w:r w:rsidR="009178CA" w:rsidRPr="00E7690C">
              <w:rPr>
                <w:rFonts w:ascii="Arial" w:eastAsia="Times New Roman" w:hAnsi="Arial" w:cs="Arial"/>
                <w:color w:val="808080" w:themeColor="background1" w:themeShade="80"/>
              </w:rPr>
              <w:t>fundamental clinical skills education</w:t>
            </w:r>
            <w:r w:rsidR="009178CA" w:rsidRPr="00E7690C">
              <w:rPr>
                <w:rFonts w:ascii="Arial" w:eastAsia="+mn-ea" w:hAnsi="Arial" w:cs="Arial"/>
                <w:color w:val="808080" w:themeColor="background1" w:themeShade="80"/>
              </w:rPr>
              <w:t>. However, if a program uses ICU experiences to fulfill fundamental clinical skills inpatient requirements, the program director must design a curriculum (goals and objectives, teaching methods, and outcome measurement tools) that demonstrates how the experience allows the residents to develop the fundamental clinical skill competencies as outlined in Program Requirement</w:t>
            </w:r>
            <w:r>
              <w:rPr>
                <w:rFonts w:ascii="Arial" w:eastAsia="+mn-ea" w:hAnsi="Arial" w:cs="Arial"/>
                <w:color w:val="808080" w:themeColor="background1" w:themeShade="80"/>
              </w:rPr>
              <w:t xml:space="preserve"> </w:t>
            </w:r>
            <w:r w:rsidRPr="00971197">
              <w:rPr>
                <w:rFonts w:ascii="Arial" w:eastAsia="+mn-ea" w:hAnsi="Arial" w:cs="Arial"/>
                <w:color w:val="808080" w:themeColor="background1" w:themeShade="80"/>
              </w:rPr>
              <w:t>IV.B.1.b).(1).(a)</w:t>
            </w:r>
            <w:r w:rsidR="009178CA" w:rsidRPr="00E7690C">
              <w:rPr>
                <w:rFonts w:ascii="Arial" w:eastAsia="+mn-ea" w:hAnsi="Arial" w:cs="Arial"/>
                <w:color w:val="808080" w:themeColor="background1" w:themeShade="80"/>
              </w:rPr>
              <w:t>. An ICU experience cannot be used to fulfill requirements for both inpatient care and critical care medicine.</w:t>
            </w:r>
          </w:p>
        </w:tc>
      </w:tr>
      <w:tr w:rsidR="00673208" w:rsidRPr="000C0FD5" w14:paraId="55839ED1" w14:textId="77777777" w:rsidTr="00AE02DB">
        <w:tc>
          <w:tcPr>
            <w:tcW w:w="4960" w:type="dxa"/>
            <w:vAlign w:val="center"/>
          </w:tcPr>
          <w:p w14:paraId="4B268272" w14:textId="7BB509B8" w:rsidR="00673208" w:rsidRPr="000C0FD5" w:rsidRDefault="00673208" w:rsidP="009178CA">
            <w:pPr>
              <w:pStyle w:val="ListParagraph"/>
              <w:numPr>
                <w:ilvl w:val="0"/>
                <w:numId w:val="7"/>
              </w:numPr>
              <w:spacing w:after="0" w:line="240" w:lineRule="auto"/>
              <w:ind w:left="735"/>
              <w:rPr>
                <w:rFonts w:ascii="Arial" w:hAnsi="Arial" w:cs="Arial"/>
                <w:color w:val="000000" w:themeColor="text1"/>
              </w:rPr>
            </w:pPr>
            <w:r w:rsidRPr="000C0FD5">
              <w:rPr>
                <w:rFonts w:ascii="Arial" w:hAnsi="Arial" w:cs="Arial"/>
                <w:color w:val="000000" w:themeColor="text1"/>
              </w:rPr>
              <w:lastRenderedPageBreak/>
              <w:t>How many months of critical care rotations will the</w:t>
            </w:r>
            <w:r w:rsidR="00AF157C" w:rsidRPr="000C0FD5">
              <w:rPr>
                <w:rFonts w:ascii="Arial" w:hAnsi="Arial" w:cs="Arial"/>
                <w:color w:val="000000" w:themeColor="text1"/>
              </w:rPr>
              <w:t xml:space="preserve"> fundamental clinical skills of medical e</w:t>
            </w:r>
            <w:r w:rsidR="00F77CA8" w:rsidRPr="000C0FD5">
              <w:rPr>
                <w:rFonts w:ascii="Arial" w:hAnsi="Arial" w:cs="Arial"/>
                <w:color w:val="000000" w:themeColor="text1"/>
              </w:rPr>
              <w:t>ducation year</w:t>
            </w:r>
            <w:r w:rsidRPr="000C0FD5">
              <w:rPr>
                <w:rFonts w:ascii="Arial" w:hAnsi="Arial" w:cs="Arial"/>
                <w:color w:val="000000" w:themeColor="text1"/>
              </w:rPr>
              <w:t xml:space="preserve"> include?</w:t>
            </w:r>
          </w:p>
        </w:tc>
        <w:tc>
          <w:tcPr>
            <w:tcW w:w="5300" w:type="dxa"/>
            <w:shd w:val="clear" w:color="auto" w:fill="F2F2F2"/>
          </w:tcPr>
          <w:p w14:paraId="1F6735B2" w14:textId="77777777" w:rsidR="00673208" w:rsidRPr="000C0FD5" w:rsidRDefault="00673208" w:rsidP="00AE02DB">
            <w:pPr>
              <w:pStyle w:val="ListParagraph"/>
              <w:spacing w:after="0" w:line="240" w:lineRule="auto"/>
              <w:ind w:left="0"/>
              <w:rPr>
                <w:rFonts w:ascii="Arial" w:hAnsi="Arial" w:cs="Arial"/>
              </w:rPr>
            </w:pPr>
          </w:p>
        </w:tc>
      </w:tr>
      <w:tr w:rsidR="00DB7B16" w:rsidRPr="000C0FD5" w14:paraId="7211CB04" w14:textId="77777777" w:rsidTr="00AE02DB">
        <w:tc>
          <w:tcPr>
            <w:tcW w:w="4960" w:type="dxa"/>
            <w:vAlign w:val="center"/>
          </w:tcPr>
          <w:p w14:paraId="357097C3" w14:textId="6B42CA7B" w:rsidR="00DB7B16" w:rsidRPr="000C0FD5" w:rsidRDefault="00DB7B16" w:rsidP="009178CA">
            <w:pPr>
              <w:pStyle w:val="ListParagraph"/>
              <w:numPr>
                <w:ilvl w:val="0"/>
                <w:numId w:val="7"/>
              </w:numPr>
              <w:spacing w:after="0" w:line="240" w:lineRule="auto"/>
              <w:ind w:left="735"/>
              <w:rPr>
                <w:rFonts w:ascii="Arial" w:hAnsi="Arial" w:cs="Arial"/>
                <w:color w:val="000000" w:themeColor="text1"/>
              </w:rPr>
            </w:pPr>
            <w:r w:rsidRPr="000C0FD5">
              <w:rPr>
                <w:rFonts w:ascii="Arial" w:hAnsi="Arial" w:cs="Arial"/>
                <w:color w:val="000000" w:themeColor="text1"/>
              </w:rPr>
              <w:t>How many additional months of critical care rotations will be offered as electives to residents? Provide a rationale for any additional months.</w:t>
            </w:r>
          </w:p>
        </w:tc>
        <w:tc>
          <w:tcPr>
            <w:tcW w:w="5300" w:type="dxa"/>
            <w:shd w:val="clear" w:color="auto" w:fill="F2F2F2"/>
          </w:tcPr>
          <w:p w14:paraId="3B7AD388" w14:textId="77777777" w:rsidR="00DB7B16" w:rsidRPr="000C0FD5" w:rsidRDefault="00DB7B16" w:rsidP="00AE02DB">
            <w:pPr>
              <w:pStyle w:val="ListParagraph"/>
              <w:spacing w:after="0" w:line="240" w:lineRule="auto"/>
              <w:ind w:left="0"/>
              <w:rPr>
                <w:rFonts w:ascii="Arial" w:hAnsi="Arial" w:cs="Arial"/>
              </w:rPr>
            </w:pPr>
          </w:p>
        </w:tc>
      </w:tr>
      <w:tr w:rsidR="00266FFA" w:rsidRPr="000C0FD5" w14:paraId="78CBBFF8" w14:textId="77777777" w:rsidTr="00BD192E">
        <w:tc>
          <w:tcPr>
            <w:tcW w:w="10260" w:type="dxa"/>
            <w:gridSpan w:val="2"/>
            <w:vAlign w:val="center"/>
          </w:tcPr>
          <w:p w14:paraId="2FA644A7" w14:textId="77777777" w:rsidR="00266FFA" w:rsidRPr="000C0FD5" w:rsidRDefault="00D547C9" w:rsidP="00266FFA">
            <w:pPr>
              <w:rPr>
                <w:rFonts w:ascii="Arial" w:hAnsi="Arial" w:cs="Arial"/>
                <w:b/>
              </w:rPr>
            </w:pPr>
            <w:r w:rsidRPr="000C0FD5">
              <w:rPr>
                <w:rFonts w:ascii="Arial" w:hAnsi="Arial" w:cs="Arial"/>
                <w:b/>
              </w:rPr>
              <w:t>3. One to</w:t>
            </w:r>
            <w:r w:rsidR="00EB7DD9" w:rsidRPr="000C0FD5">
              <w:rPr>
                <w:rFonts w:ascii="Arial" w:hAnsi="Arial" w:cs="Arial"/>
                <w:b/>
              </w:rPr>
              <w:t xml:space="preserve"> </w:t>
            </w:r>
            <w:r w:rsidR="00266FFA" w:rsidRPr="000C0FD5">
              <w:rPr>
                <w:rFonts w:ascii="Arial" w:hAnsi="Arial" w:cs="Arial"/>
                <w:b/>
              </w:rPr>
              <w:t xml:space="preserve">Two Months of Emergency Medicine </w:t>
            </w:r>
          </w:p>
          <w:p w14:paraId="3697D454" w14:textId="6905C6EF" w:rsidR="00266FFA" w:rsidRPr="000C0FD5" w:rsidRDefault="00A82C9E" w:rsidP="00971197">
            <w:pPr>
              <w:pStyle w:val="ListParagraph"/>
              <w:spacing w:after="0" w:line="240" w:lineRule="auto"/>
              <w:ind w:left="1282" w:hanging="1282"/>
              <w:rPr>
                <w:rFonts w:ascii="Arial" w:hAnsi="Arial" w:cs="Arial"/>
                <w:i/>
                <w:color w:val="808080" w:themeColor="background1" w:themeShade="80"/>
              </w:rPr>
            </w:pPr>
            <w:r w:rsidRPr="000C0FD5">
              <w:rPr>
                <w:rFonts w:ascii="Arial" w:hAnsi="Arial" w:cs="Arial"/>
                <w:i/>
                <w:color w:val="808080" w:themeColor="background1" w:themeShade="80"/>
              </w:rPr>
              <w:t>IV</w:t>
            </w:r>
            <w:r w:rsidR="00266FFA" w:rsidRPr="000C0FD5">
              <w:rPr>
                <w:rFonts w:ascii="Arial" w:hAnsi="Arial" w:cs="Arial"/>
                <w:i/>
                <w:color w:val="808080" w:themeColor="background1" w:themeShade="80"/>
              </w:rPr>
              <w:t>.</w:t>
            </w:r>
            <w:r w:rsidR="00971197">
              <w:rPr>
                <w:rFonts w:ascii="Arial" w:hAnsi="Arial" w:cs="Arial"/>
                <w:i/>
                <w:color w:val="808080" w:themeColor="background1" w:themeShade="80"/>
              </w:rPr>
              <w:t>C.4</w:t>
            </w:r>
            <w:r w:rsidR="00266FFA" w:rsidRPr="000C0FD5">
              <w:rPr>
                <w:rFonts w:ascii="Arial" w:hAnsi="Arial" w:cs="Arial"/>
                <w:i/>
                <w:color w:val="808080" w:themeColor="background1" w:themeShade="80"/>
              </w:rPr>
              <w:t xml:space="preserve">  </w:t>
            </w:r>
            <w:r w:rsidR="00971197">
              <w:rPr>
                <w:rFonts w:ascii="Arial" w:hAnsi="Arial" w:cs="Arial"/>
                <w:i/>
                <w:color w:val="808080" w:themeColor="background1" w:themeShade="80"/>
              </w:rPr>
              <w:tab/>
            </w:r>
            <w:r w:rsidR="00266FFA" w:rsidRPr="000C0FD5">
              <w:rPr>
                <w:rFonts w:ascii="Arial" w:hAnsi="Arial" w:cs="Arial"/>
                <w:i/>
                <w:color w:val="808080" w:themeColor="background1" w:themeShade="80"/>
              </w:rPr>
              <w:t>In addition, there should be rotations in critical care and emergency medicine, with at least one month, but no more than two months, devoted to each in the first 12  months of the program.</w:t>
            </w:r>
            <w:r w:rsidR="0019161D" w:rsidRPr="000C0FD5">
              <w:rPr>
                <w:rFonts w:ascii="Arial" w:hAnsi="Arial" w:cs="Arial"/>
                <w:i/>
                <w:color w:val="808080" w:themeColor="background1" w:themeShade="80"/>
              </w:rPr>
              <w:t xml:space="preserve"> </w:t>
            </w:r>
            <w:r w:rsidR="0019161D" w:rsidRPr="000C0FD5">
              <w:rPr>
                <w:rFonts w:ascii="Arial" w:hAnsi="Arial" w:cs="Arial"/>
                <w:i/>
                <w:color w:val="808080" w:themeColor="background1" w:themeShade="80"/>
                <w:vertAlign w:val="superscript"/>
              </w:rPr>
              <w:t>(Core)</w:t>
            </w:r>
          </w:p>
          <w:p w14:paraId="5B35D2C8" w14:textId="77777777" w:rsidR="0019161D" w:rsidRPr="000C0FD5" w:rsidRDefault="0019161D" w:rsidP="00266FFA">
            <w:pPr>
              <w:pStyle w:val="ListParagraph"/>
              <w:spacing w:after="0" w:line="240" w:lineRule="auto"/>
              <w:ind w:left="0"/>
              <w:rPr>
                <w:rFonts w:ascii="Arial" w:hAnsi="Arial" w:cs="Arial"/>
                <w:i/>
                <w:color w:val="808080" w:themeColor="background1" w:themeShade="80"/>
              </w:rPr>
            </w:pPr>
          </w:p>
          <w:p w14:paraId="25F0FB54" w14:textId="354F85BC" w:rsidR="0019161D" w:rsidRPr="000C0FD5" w:rsidRDefault="0019161D" w:rsidP="00971197">
            <w:pPr>
              <w:pStyle w:val="ListParagraph"/>
              <w:spacing w:after="0" w:line="240" w:lineRule="auto"/>
              <w:ind w:left="1282" w:hanging="1282"/>
              <w:rPr>
                <w:rFonts w:ascii="Arial" w:hAnsi="Arial" w:cs="Arial"/>
                <w:color w:val="808080" w:themeColor="background1" w:themeShade="80"/>
              </w:rPr>
            </w:pPr>
            <w:r w:rsidRPr="000C0FD5">
              <w:rPr>
                <w:rFonts w:ascii="Arial" w:hAnsi="Arial" w:cs="Arial"/>
                <w:i/>
                <w:color w:val="808080" w:themeColor="background1" w:themeShade="80"/>
              </w:rPr>
              <w:t xml:space="preserve">FAQ:   </w:t>
            </w:r>
            <w:r w:rsidR="00971197">
              <w:rPr>
                <w:rFonts w:ascii="Arial" w:hAnsi="Arial" w:cs="Arial"/>
                <w:i/>
                <w:color w:val="808080" w:themeColor="background1" w:themeShade="80"/>
              </w:rPr>
              <w:tab/>
            </w:r>
            <w:r w:rsidRPr="000C0FD5">
              <w:rPr>
                <w:rFonts w:ascii="Arial" w:hAnsi="Arial" w:cs="Arial"/>
                <w:color w:val="808080" w:themeColor="background1" w:themeShade="80"/>
              </w:rPr>
              <w:t>As stated in the Program Requirements, there must be at least one month but not more than two months of emergency medicine included in the integrated 12-month fundamental clinical skills education.  If a resident transfers into the program from another medical specialty, the anesthesiology core program director must document that the transfer resident met, or had an equivalent experience to meet, the emergency medicine requirement.  If such experience was not provided in a previous program, the resident must complete this requirement before the start of the CA-3 year.</w:t>
            </w:r>
          </w:p>
          <w:p w14:paraId="18A4793C" w14:textId="157433B9" w:rsidR="000C0FD5" w:rsidRPr="000C0FD5" w:rsidRDefault="000C0FD5" w:rsidP="00266FFA">
            <w:pPr>
              <w:pStyle w:val="ListParagraph"/>
              <w:spacing w:after="0" w:line="240" w:lineRule="auto"/>
              <w:ind w:left="0"/>
              <w:rPr>
                <w:rFonts w:ascii="Arial" w:hAnsi="Arial" w:cs="Arial"/>
                <w:i/>
                <w:color w:val="808080" w:themeColor="background1" w:themeShade="80"/>
              </w:rPr>
            </w:pPr>
          </w:p>
        </w:tc>
      </w:tr>
      <w:tr w:rsidR="00673208" w:rsidRPr="000C0FD5" w14:paraId="0B028064" w14:textId="77777777" w:rsidTr="00AE02DB">
        <w:tc>
          <w:tcPr>
            <w:tcW w:w="4960" w:type="dxa"/>
            <w:vAlign w:val="center"/>
          </w:tcPr>
          <w:p w14:paraId="3B9090BE" w14:textId="582DB2D8" w:rsidR="00673208" w:rsidRPr="000C0FD5" w:rsidRDefault="00673208" w:rsidP="009178CA">
            <w:pPr>
              <w:pStyle w:val="ListParagraph"/>
              <w:numPr>
                <w:ilvl w:val="0"/>
                <w:numId w:val="8"/>
              </w:numPr>
              <w:spacing w:after="0" w:line="240" w:lineRule="auto"/>
              <w:rPr>
                <w:rFonts w:ascii="Arial" w:hAnsi="Arial" w:cs="Arial"/>
                <w:color w:val="000000" w:themeColor="text1"/>
              </w:rPr>
            </w:pPr>
            <w:r w:rsidRPr="000C0FD5">
              <w:rPr>
                <w:rFonts w:ascii="Arial" w:hAnsi="Arial" w:cs="Arial"/>
                <w:color w:val="000000" w:themeColor="text1"/>
              </w:rPr>
              <w:t xml:space="preserve">How many months of emergency medicine rotations will the </w:t>
            </w:r>
            <w:r w:rsidR="00910745" w:rsidRPr="000C0FD5">
              <w:rPr>
                <w:rFonts w:ascii="Arial" w:hAnsi="Arial" w:cs="Arial"/>
                <w:color w:val="000000" w:themeColor="text1"/>
              </w:rPr>
              <w:t>fundamental clinical skills of medical education year</w:t>
            </w:r>
            <w:r w:rsidRPr="000C0FD5">
              <w:rPr>
                <w:rFonts w:ascii="Arial" w:hAnsi="Arial" w:cs="Arial"/>
                <w:color w:val="000000" w:themeColor="text1"/>
              </w:rPr>
              <w:t xml:space="preserve"> include?</w:t>
            </w:r>
          </w:p>
        </w:tc>
        <w:tc>
          <w:tcPr>
            <w:tcW w:w="5300" w:type="dxa"/>
            <w:shd w:val="clear" w:color="auto" w:fill="F2F2F2"/>
          </w:tcPr>
          <w:p w14:paraId="340DA869" w14:textId="77777777" w:rsidR="00673208" w:rsidRPr="000C0FD5" w:rsidRDefault="00673208" w:rsidP="00AE02DB">
            <w:pPr>
              <w:pStyle w:val="ListParagraph"/>
              <w:spacing w:after="0" w:line="240" w:lineRule="auto"/>
              <w:ind w:left="0"/>
              <w:rPr>
                <w:rFonts w:ascii="Arial" w:hAnsi="Arial" w:cs="Arial"/>
              </w:rPr>
            </w:pPr>
          </w:p>
        </w:tc>
      </w:tr>
    </w:tbl>
    <w:p w14:paraId="46CB0FEB" w14:textId="77777777" w:rsidR="00673208" w:rsidRPr="000C0FD5" w:rsidRDefault="00673208" w:rsidP="00D46440">
      <w:pPr>
        <w:spacing w:after="0" w:line="240" w:lineRule="auto"/>
        <w:rPr>
          <w:rFonts w:ascii="Arial" w:hAnsi="Arial" w:cs="Arial"/>
        </w:rPr>
      </w:pPr>
    </w:p>
    <w:p w14:paraId="772E834F" w14:textId="77777777" w:rsidR="00EB1C00" w:rsidRPr="000C0FD5" w:rsidRDefault="00EB1C00" w:rsidP="00D46440">
      <w:pPr>
        <w:spacing w:after="0" w:line="240" w:lineRule="auto"/>
        <w:rPr>
          <w:rFonts w:ascii="Arial" w:hAnsi="Arial" w:cs="Arial"/>
        </w:rPr>
      </w:pPr>
    </w:p>
    <w:p w14:paraId="20AF4C35" w14:textId="77777777" w:rsidR="00971197" w:rsidRDefault="00971197">
      <w:pPr>
        <w:spacing w:after="0" w:line="240" w:lineRule="auto"/>
        <w:rPr>
          <w:rFonts w:ascii="Arial" w:hAnsi="Arial" w:cs="Arial"/>
          <w:sz w:val="28"/>
        </w:rPr>
      </w:pPr>
      <w:r>
        <w:rPr>
          <w:rFonts w:ascii="Arial" w:hAnsi="Arial" w:cs="Arial"/>
          <w:sz w:val="28"/>
        </w:rPr>
        <w:br w:type="page"/>
      </w:r>
    </w:p>
    <w:p w14:paraId="47F342BC" w14:textId="149B30E4" w:rsidR="00EB1C00" w:rsidRPr="000C0FD5" w:rsidRDefault="00EB1C00" w:rsidP="000C0FD5">
      <w:pPr>
        <w:spacing w:after="0" w:line="240" w:lineRule="auto"/>
        <w:outlineLvl w:val="0"/>
        <w:rPr>
          <w:rFonts w:ascii="Arial" w:hAnsi="Arial" w:cs="Arial"/>
        </w:rPr>
      </w:pPr>
      <w:r w:rsidRPr="000C0FD5">
        <w:rPr>
          <w:rFonts w:ascii="Arial" w:hAnsi="Arial" w:cs="Arial"/>
          <w:sz w:val="28"/>
        </w:rPr>
        <w:t xml:space="preserve">Section II: Supervision and Evaluation </w:t>
      </w:r>
    </w:p>
    <w:tbl>
      <w:tblPr>
        <w:tblStyle w:val="TableGrid"/>
        <w:tblW w:w="10260" w:type="dxa"/>
        <w:tblInd w:w="7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CellMar>
          <w:top w:w="72" w:type="dxa"/>
          <w:left w:w="72" w:type="dxa"/>
          <w:bottom w:w="72" w:type="dxa"/>
          <w:right w:w="72" w:type="dxa"/>
        </w:tblCellMar>
        <w:tblLook w:val="04A0" w:firstRow="1" w:lastRow="0" w:firstColumn="1" w:lastColumn="0" w:noHBand="0" w:noVBand="1"/>
      </w:tblPr>
      <w:tblGrid>
        <w:gridCol w:w="4960"/>
        <w:gridCol w:w="5300"/>
      </w:tblGrid>
      <w:tr w:rsidR="00B34C9C" w:rsidRPr="000C0FD5" w14:paraId="11058087" w14:textId="77777777" w:rsidTr="00767EC6">
        <w:trPr>
          <w:trHeight w:val="1038"/>
        </w:trPr>
        <w:tc>
          <w:tcPr>
            <w:tcW w:w="10260" w:type="dxa"/>
            <w:gridSpan w:val="2"/>
            <w:vAlign w:val="center"/>
          </w:tcPr>
          <w:p w14:paraId="5A53FDF6" w14:textId="2CEC4323" w:rsidR="00B34C9C" w:rsidRPr="000C0FD5" w:rsidRDefault="008850A6" w:rsidP="00B34C9C">
            <w:pPr>
              <w:rPr>
                <w:rFonts w:ascii="Arial" w:hAnsi="Arial" w:cs="Arial"/>
                <w:b/>
              </w:rPr>
            </w:pPr>
            <w:r w:rsidRPr="000C0FD5">
              <w:rPr>
                <w:rFonts w:ascii="Arial" w:hAnsi="Arial" w:cs="Arial"/>
                <w:b/>
              </w:rPr>
              <w:t>5</w:t>
            </w:r>
            <w:r w:rsidR="00B34C9C" w:rsidRPr="000C0FD5">
              <w:rPr>
                <w:rFonts w:ascii="Arial" w:hAnsi="Arial" w:cs="Arial"/>
                <w:b/>
              </w:rPr>
              <w:t>. Oversight by the Anesthesiology Program Director</w:t>
            </w:r>
          </w:p>
          <w:p w14:paraId="2E8B4520" w14:textId="02551EBA" w:rsidR="00B34C9C" w:rsidRPr="000C0FD5" w:rsidRDefault="003A672C" w:rsidP="00971197">
            <w:pPr>
              <w:pStyle w:val="ListParagraph"/>
              <w:spacing w:after="0" w:line="240" w:lineRule="auto"/>
              <w:ind w:left="1192" w:hanging="1192"/>
              <w:rPr>
                <w:rFonts w:ascii="Arial" w:hAnsi="Arial" w:cs="Arial"/>
                <w:i/>
                <w:color w:val="808080" w:themeColor="background1" w:themeShade="80"/>
                <w:vertAlign w:val="superscript"/>
              </w:rPr>
            </w:pPr>
            <w:r w:rsidRPr="000C0FD5">
              <w:rPr>
                <w:rFonts w:ascii="Arial" w:hAnsi="Arial" w:cs="Arial"/>
                <w:i/>
                <w:color w:val="808080" w:themeColor="background1" w:themeShade="80"/>
              </w:rPr>
              <w:t>I</w:t>
            </w:r>
            <w:r w:rsidR="00971197">
              <w:rPr>
                <w:rFonts w:ascii="Arial" w:hAnsi="Arial" w:cs="Arial"/>
                <w:i/>
                <w:color w:val="808080" w:themeColor="background1" w:themeShade="80"/>
              </w:rPr>
              <w:t>V.C.3.c</w:t>
            </w:r>
            <w:r w:rsidR="00B34C9C" w:rsidRPr="000C0FD5">
              <w:rPr>
                <w:rFonts w:ascii="Arial" w:hAnsi="Arial" w:cs="Arial"/>
                <w:i/>
                <w:color w:val="808080" w:themeColor="background1" w:themeShade="80"/>
              </w:rPr>
              <w:t xml:space="preserve">)  </w:t>
            </w:r>
            <w:r w:rsidR="00971197">
              <w:rPr>
                <w:rFonts w:ascii="Arial" w:hAnsi="Arial" w:cs="Arial"/>
                <w:i/>
                <w:color w:val="808080" w:themeColor="background1" w:themeShade="80"/>
              </w:rPr>
              <w:tab/>
            </w:r>
            <w:r w:rsidR="00B34C9C" w:rsidRPr="000C0FD5">
              <w:rPr>
                <w:rFonts w:ascii="Arial" w:hAnsi="Arial" w:cs="Arial"/>
                <w:i/>
                <w:color w:val="808080" w:themeColor="background1" w:themeShade="80"/>
              </w:rPr>
              <w:t>When</w:t>
            </w:r>
            <w:r w:rsidR="00374275" w:rsidRPr="000C0FD5">
              <w:rPr>
                <w:rFonts w:ascii="Arial" w:hAnsi="Arial" w:cs="Arial"/>
                <w:i/>
                <w:color w:val="808080" w:themeColor="background1" w:themeShade="80"/>
              </w:rPr>
              <w:t xml:space="preserve"> 12 months of education in fundamental clinical skills of medicine</w:t>
            </w:r>
            <w:r w:rsidR="00B34C9C" w:rsidRPr="000C0FD5">
              <w:rPr>
                <w:rFonts w:ascii="Arial" w:hAnsi="Arial" w:cs="Arial"/>
                <w:i/>
                <w:color w:val="808080" w:themeColor="background1" w:themeShade="80"/>
              </w:rPr>
              <w:t xml:space="preserve"> is approved as part of the accredited</w:t>
            </w:r>
            <w:r w:rsidR="00374275" w:rsidRPr="000C0FD5">
              <w:rPr>
                <w:rFonts w:ascii="Arial" w:hAnsi="Arial" w:cs="Arial"/>
                <w:i/>
                <w:color w:val="808080" w:themeColor="background1" w:themeShade="80"/>
              </w:rPr>
              <w:t xml:space="preserve"> </w:t>
            </w:r>
            <w:r w:rsidR="00B34C9C" w:rsidRPr="000C0FD5">
              <w:rPr>
                <w:rFonts w:ascii="Arial" w:hAnsi="Arial" w:cs="Arial"/>
                <w:i/>
                <w:color w:val="808080" w:themeColor="background1" w:themeShade="80"/>
              </w:rPr>
              <w:t>program</w:t>
            </w:r>
            <w:r w:rsidR="00B34C9C" w:rsidRPr="000C0FD5">
              <w:rPr>
                <w:rFonts w:ascii="Arial" w:hAnsi="Arial" w:cs="Arial"/>
                <w:i/>
                <w:iCs/>
                <w:color w:val="808080" w:themeColor="background1" w:themeShade="80"/>
              </w:rPr>
              <w:t xml:space="preserve">, </w:t>
            </w:r>
            <w:r w:rsidR="00B34C9C" w:rsidRPr="000C0FD5">
              <w:rPr>
                <w:rFonts w:ascii="Arial" w:hAnsi="Arial" w:cs="Arial"/>
                <w:i/>
                <w:color w:val="808080" w:themeColor="background1" w:themeShade="80"/>
              </w:rPr>
              <w:t>the program director must maintain oversight for all rotations and must approve the rotations for individual residents</w:t>
            </w:r>
            <w:r w:rsidR="00B34C9C" w:rsidRPr="000C0FD5">
              <w:rPr>
                <w:rFonts w:ascii="Arial" w:hAnsi="Arial" w:cs="Arial"/>
                <w:i/>
                <w:color w:val="808080" w:themeColor="background1" w:themeShade="80"/>
                <w:vertAlign w:val="superscript"/>
              </w:rPr>
              <w:t>.</w:t>
            </w:r>
            <w:r w:rsidR="003B283C" w:rsidRPr="000C0FD5">
              <w:rPr>
                <w:rFonts w:ascii="Arial" w:hAnsi="Arial" w:cs="Arial"/>
                <w:i/>
                <w:color w:val="808080" w:themeColor="background1" w:themeShade="80"/>
                <w:vertAlign w:val="superscript"/>
              </w:rPr>
              <w:t>(Core)</w:t>
            </w:r>
          </w:p>
          <w:p w14:paraId="6342B423" w14:textId="28E6850E" w:rsidR="000C0FD5" w:rsidRPr="000C0FD5" w:rsidRDefault="000C0FD5" w:rsidP="00B34C9C">
            <w:pPr>
              <w:pStyle w:val="ListParagraph"/>
              <w:spacing w:after="0" w:line="240" w:lineRule="auto"/>
              <w:ind w:left="0"/>
              <w:rPr>
                <w:rFonts w:ascii="Arial" w:hAnsi="Arial" w:cs="Arial"/>
              </w:rPr>
            </w:pPr>
          </w:p>
        </w:tc>
      </w:tr>
      <w:tr w:rsidR="00EB1C00" w:rsidRPr="000C0FD5" w14:paraId="746E351E" w14:textId="77777777" w:rsidTr="00F07D30">
        <w:tc>
          <w:tcPr>
            <w:tcW w:w="4960" w:type="dxa"/>
            <w:vAlign w:val="center"/>
          </w:tcPr>
          <w:p w14:paraId="1B207E68" w14:textId="317F3946" w:rsidR="00EB1C00" w:rsidRPr="000C0FD5" w:rsidRDefault="00EB1C00" w:rsidP="009178CA">
            <w:pPr>
              <w:pStyle w:val="ListParagraph"/>
              <w:numPr>
                <w:ilvl w:val="0"/>
                <w:numId w:val="10"/>
              </w:numPr>
              <w:autoSpaceDE w:val="0"/>
              <w:autoSpaceDN w:val="0"/>
              <w:adjustRightInd w:val="0"/>
              <w:spacing w:after="0" w:line="240" w:lineRule="auto"/>
              <w:rPr>
                <w:rFonts w:ascii="Arial" w:hAnsi="Arial" w:cs="Arial"/>
              </w:rPr>
            </w:pPr>
            <w:r w:rsidRPr="000C0FD5">
              <w:rPr>
                <w:rFonts w:ascii="Arial" w:hAnsi="Arial" w:cs="Arial"/>
                <w:color w:val="000000" w:themeColor="text1"/>
              </w:rPr>
              <w:lastRenderedPageBreak/>
              <w:t xml:space="preserve">How does the program director maintain oversight for all rotations on the services that are used for the </w:t>
            </w:r>
            <w:r w:rsidR="00665B09" w:rsidRPr="000C0FD5">
              <w:rPr>
                <w:rFonts w:ascii="Arial" w:hAnsi="Arial" w:cs="Arial"/>
                <w:color w:val="000000" w:themeColor="text1"/>
              </w:rPr>
              <w:t>fundamental clinical skills in medical education year</w:t>
            </w:r>
            <w:r w:rsidRPr="000C0FD5">
              <w:rPr>
                <w:rFonts w:ascii="Arial" w:hAnsi="Arial" w:cs="Arial"/>
                <w:color w:val="000000" w:themeColor="text1"/>
              </w:rPr>
              <w:t xml:space="preserve"> and approve the rotations for individual residents?</w:t>
            </w:r>
          </w:p>
        </w:tc>
        <w:tc>
          <w:tcPr>
            <w:tcW w:w="5300" w:type="dxa"/>
            <w:shd w:val="clear" w:color="auto" w:fill="F2F2F2"/>
          </w:tcPr>
          <w:p w14:paraId="489E1A92" w14:textId="77777777" w:rsidR="00EB1C00" w:rsidRPr="000C0FD5" w:rsidRDefault="00EB1C00" w:rsidP="00F07D30">
            <w:pPr>
              <w:pStyle w:val="ListParagraph"/>
              <w:spacing w:after="0" w:line="240" w:lineRule="auto"/>
              <w:ind w:left="0"/>
              <w:rPr>
                <w:rFonts w:ascii="Arial" w:hAnsi="Arial" w:cs="Arial"/>
              </w:rPr>
            </w:pPr>
          </w:p>
        </w:tc>
      </w:tr>
      <w:tr w:rsidR="00B34C9C" w:rsidRPr="000C0FD5" w14:paraId="23A15A4D" w14:textId="77777777" w:rsidTr="00F42E5E">
        <w:trPr>
          <w:trHeight w:val="1266"/>
        </w:trPr>
        <w:tc>
          <w:tcPr>
            <w:tcW w:w="10260" w:type="dxa"/>
            <w:gridSpan w:val="2"/>
            <w:vAlign w:val="center"/>
          </w:tcPr>
          <w:p w14:paraId="42F8B72F" w14:textId="7ED866C9" w:rsidR="00B34C9C" w:rsidRPr="000C0FD5" w:rsidRDefault="008850A6" w:rsidP="00B34C9C">
            <w:pPr>
              <w:rPr>
                <w:rFonts w:ascii="Arial" w:hAnsi="Arial" w:cs="Arial"/>
                <w:b/>
              </w:rPr>
            </w:pPr>
            <w:r w:rsidRPr="000C0FD5">
              <w:rPr>
                <w:rFonts w:ascii="Arial" w:hAnsi="Arial" w:cs="Arial"/>
                <w:b/>
              </w:rPr>
              <w:t>6</w:t>
            </w:r>
            <w:r w:rsidR="00B34C9C" w:rsidRPr="000C0FD5">
              <w:rPr>
                <w:rFonts w:ascii="Arial" w:hAnsi="Arial" w:cs="Arial"/>
                <w:b/>
              </w:rPr>
              <w:t>. Continuity of Teaching and Clinical Experience</w:t>
            </w:r>
          </w:p>
          <w:p w14:paraId="5A986681" w14:textId="33903AB5" w:rsidR="00B6647D" w:rsidRPr="000C0FD5" w:rsidRDefault="004A4A49" w:rsidP="00971197">
            <w:pPr>
              <w:pStyle w:val="ListParagraph"/>
              <w:spacing w:after="0" w:line="240" w:lineRule="auto"/>
              <w:ind w:left="1192" w:hanging="1192"/>
              <w:rPr>
                <w:rFonts w:ascii="Arial" w:hAnsi="Arial" w:cs="Arial"/>
              </w:rPr>
            </w:pPr>
            <w:r w:rsidRPr="000C0FD5">
              <w:rPr>
                <w:rFonts w:ascii="Arial" w:hAnsi="Arial" w:cs="Arial"/>
                <w:i/>
                <w:color w:val="808080" w:themeColor="background1" w:themeShade="80"/>
              </w:rPr>
              <w:t>IV</w:t>
            </w:r>
            <w:r w:rsidR="00B34C9C" w:rsidRPr="000C0FD5">
              <w:rPr>
                <w:rFonts w:ascii="Arial" w:hAnsi="Arial" w:cs="Arial"/>
                <w:i/>
                <w:color w:val="808080" w:themeColor="background1" w:themeShade="80"/>
              </w:rPr>
              <w:t>.</w:t>
            </w:r>
            <w:r w:rsidR="00971197">
              <w:rPr>
                <w:rFonts w:ascii="Arial" w:hAnsi="Arial" w:cs="Arial"/>
                <w:i/>
                <w:color w:val="808080" w:themeColor="background1" w:themeShade="80"/>
              </w:rPr>
              <w:t>C.20.a</w:t>
            </w:r>
            <w:r w:rsidR="00B34C9C" w:rsidRPr="000C0FD5">
              <w:rPr>
                <w:rFonts w:ascii="Arial" w:hAnsi="Arial" w:cs="Arial"/>
                <w:i/>
                <w:color w:val="808080" w:themeColor="background1" w:themeShade="80"/>
              </w:rPr>
              <w:t xml:space="preserve">)  </w:t>
            </w:r>
            <w:r w:rsidR="00971197">
              <w:rPr>
                <w:rFonts w:ascii="Arial" w:hAnsi="Arial" w:cs="Arial"/>
                <w:i/>
                <w:color w:val="808080" w:themeColor="background1" w:themeShade="80"/>
              </w:rPr>
              <w:tab/>
            </w:r>
            <w:r w:rsidRPr="000C0FD5">
              <w:rPr>
                <w:rFonts w:ascii="Arial" w:hAnsi="Arial" w:cs="Arial"/>
                <w:i/>
                <w:color w:val="808080" w:themeColor="background1" w:themeShade="80"/>
              </w:rPr>
              <w:t>The material covered in the didactic program must demonstrate appropriate continuity and sequencing to ensure that residents are ultimately exposed to all subject</w:t>
            </w:r>
            <w:r w:rsidR="00E44A3F" w:rsidRPr="000C0FD5">
              <w:rPr>
                <w:rFonts w:ascii="Arial" w:hAnsi="Arial" w:cs="Arial"/>
                <w:i/>
                <w:color w:val="808080" w:themeColor="background1" w:themeShade="80"/>
              </w:rPr>
              <w:t>s</w:t>
            </w:r>
            <w:r w:rsidRPr="000C0FD5">
              <w:rPr>
                <w:rFonts w:ascii="Arial" w:hAnsi="Arial" w:cs="Arial"/>
                <w:i/>
                <w:color w:val="808080" w:themeColor="background1" w:themeShade="80"/>
              </w:rPr>
              <w:t xml:space="preserve"> at regularly held learning exercises. </w:t>
            </w:r>
            <w:r w:rsidRPr="000C0FD5">
              <w:rPr>
                <w:rFonts w:ascii="Arial" w:hAnsi="Arial" w:cs="Arial"/>
                <w:i/>
                <w:color w:val="808080" w:themeColor="background1" w:themeShade="80"/>
                <w:vertAlign w:val="superscript"/>
              </w:rPr>
              <w:t>(Core</w:t>
            </w:r>
            <w:r w:rsidRPr="00971197">
              <w:rPr>
                <w:rFonts w:ascii="Arial" w:hAnsi="Arial" w:cs="Arial"/>
                <w:i/>
                <w:color w:val="808080" w:themeColor="background1" w:themeShade="80"/>
                <w:vertAlign w:val="superscript"/>
              </w:rPr>
              <w:t>)</w:t>
            </w:r>
            <w:r w:rsidR="00B34C9C" w:rsidRPr="000C0FD5">
              <w:rPr>
                <w:rFonts w:ascii="Arial" w:hAnsi="Arial" w:cs="Arial"/>
                <w:i/>
                <w:color w:val="808080" w:themeColor="background1" w:themeShade="80"/>
              </w:rPr>
              <w:t>.</w:t>
            </w:r>
          </w:p>
        </w:tc>
      </w:tr>
      <w:tr w:rsidR="00EB1C00" w:rsidRPr="000C0FD5" w14:paraId="0EDBCB37" w14:textId="77777777" w:rsidTr="00F07D30">
        <w:tc>
          <w:tcPr>
            <w:tcW w:w="4960" w:type="dxa"/>
            <w:vAlign w:val="center"/>
          </w:tcPr>
          <w:p w14:paraId="001203FC" w14:textId="485B63AD" w:rsidR="00EB1C00" w:rsidRPr="000C0FD5" w:rsidRDefault="00EB1C00" w:rsidP="009178CA">
            <w:pPr>
              <w:pStyle w:val="ListParagraph"/>
              <w:numPr>
                <w:ilvl w:val="0"/>
                <w:numId w:val="11"/>
              </w:numPr>
              <w:spacing w:after="0" w:line="240" w:lineRule="auto"/>
              <w:rPr>
                <w:rFonts w:ascii="Arial" w:hAnsi="Arial" w:cs="Arial"/>
                <w:color w:val="000000" w:themeColor="text1"/>
              </w:rPr>
            </w:pPr>
            <w:r w:rsidRPr="000C0FD5">
              <w:rPr>
                <w:rFonts w:ascii="Arial" w:hAnsi="Arial" w:cs="Arial"/>
                <w:color w:val="000000" w:themeColor="text1"/>
              </w:rPr>
              <w:t>How does the</w:t>
            </w:r>
            <w:r w:rsidR="00E44A3F" w:rsidRPr="000C0FD5">
              <w:rPr>
                <w:rFonts w:ascii="Arial" w:hAnsi="Arial" w:cs="Arial"/>
                <w:color w:val="000000" w:themeColor="text1"/>
              </w:rPr>
              <w:t xml:space="preserve"> program’s </w:t>
            </w:r>
            <w:r w:rsidR="000265AE" w:rsidRPr="000C0FD5">
              <w:rPr>
                <w:rFonts w:ascii="Arial" w:hAnsi="Arial" w:cs="Arial"/>
                <w:color w:val="000000" w:themeColor="text1"/>
              </w:rPr>
              <w:t>funda</w:t>
            </w:r>
            <w:r w:rsidR="00E44A3F" w:rsidRPr="000C0FD5">
              <w:rPr>
                <w:rFonts w:ascii="Arial" w:hAnsi="Arial" w:cs="Arial"/>
                <w:color w:val="000000" w:themeColor="text1"/>
              </w:rPr>
              <w:t xml:space="preserve">mental clinical skills in medical education curriculum prepare the resident for the advanced program and ensure </w:t>
            </w:r>
            <w:r w:rsidRPr="000C0FD5">
              <w:rPr>
                <w:rFonts w:ascii="Arial" w:hAnsi="Arial" w:cs="Arial"/>
                <w:color w:val="000000" w:themeColor="text1"/>
              </w:rPr>
              <w:t xml:space="preserve">continuity </w:t>
            </w:r>
            <w:r w:rsidR="00E44A3F" w:rsidRPr="000C0FD5">
              <w:rPr>
                <w:rFonts w:ascii="Arial" w:hAnsi="Arial" w:cs="Arial"/>
                <w:color w:val="000000" w:themeColor="text1"/>
              </w:rPr>
              <w:t>in the resident’s</w:t>
            </w:r>
            <w:r w:rsidRPr="000C0FD5">
              <w:rPr>
                <w:rFonts w:ascii="Arial" w:hAnsi="Arial" w:cs="Arial"/>
                <w:color w:val="000000" w:themeColor="text1"/>
              </w:rPr>
              <w:t xml:space="preserve"> </w:t>
            </w:r>
            <w:r w:rsidR="00E44A3F" w:rsidRPr="000C0FD5">
              <w:rPr>
                <w:rFonts w:ascii="Arial" w:hAnsi="Arial" w:cs="Arial"/>
                <w:color w:val="000000" w:themeColor="text1"/>
              </w:rPr>
              <w:t xml:space="preserve">didactic learning and </w:t>
            </w:r>
            <w:r w:rsidRPr="000C0FD5">
              <w:rPr>
                <w:rFonts w:ascii="Arial" w:hAnsi="Arial" w:cs="Arial"/>
                <w:color w:val="000000" w:themeColor="text1"/>
              </w:rPr>
              <w:t>clinical experience?</w:t>
            </w:r>
          </w:p>
        </w:tc>
        <w:tc>
          <w:tcPr>
            <w:tcW w:w="5300" w:type="dxa"/>
            <w:shd w:val="clear" w:color="auto" w:fill="F2F2F2"/>
          </w:tcPr>
          <w:p w14:paraId="4E2F7D03" w14:textId="77777777" w:rsidR="00EB1C00" w:rsidRPr="000C0FD5" w:rsidRDefault="00EB1C00" w:rsidP="00F07D30">
            <w:pPr>
              <w:pStyle w:val="ListParagraph"/>
              <w:spacing w:after="0" w:line="240" w:lineRule="auto"/>
              <w:ind w:left="0"/>
              <w:rPr>
                <w:rFonts w:ascii="Arial" w:hAnsi="Arial" w:cs="Arial"/>
              </w:rPr>
            </w:pPr>
          </w:p>
        </w:tc>
      </w:tr>
      <w:tr w:rsidR="00B34C9C" w:rsidRPr="000C0FD5" w14:paraId="707BFAEF" w14:textId="77777777" w:rsidTr="00EB5C87">
        <w:tc>
          <w:tcPr>
            <w:tcW w:w="10260" w:type="dxa"/>
            <w:gridSpan w:val="2"/>
            <w:vAlign w:val="center"/>
          </w:tcPr>
          <w:p w14:paraId="210FA60B" w14:textId="7FBA9184" w:rsidR="00B34C9C" w:rsidRPr="000C0FD5" w:rsidRDefault="008850A6" w:rsidP="00B34C9C">
            <w:pPr>
              <w:rPr>
                <w:rFonts w:ascii="Arial" w:hAnsi="Arial" w:cs="Arial"/>
                <w:b/>
              </w:rPr>
            </w:pPr>
            <w:r w:rsidRPr="000C0FD5">
              <w:rPr>
                <w:rFonts w:ascii="Arial" w:hAnsi="Arial" w:cs="Arial"/>
                <w:b/>
              </w:rPr>
              <w:t>7</w:t>
            </w:r>
            <w:r w:rsidR="00B34C9C" w:rsidRPr="000C0FD5">
              <w:rPr>
                <w:rFonts w:ascii="Arial" w:hAnsi="Arial" w:cs="Arial"/>
                <w:b/>
              </w:rPr>
              <w:t xml:space="preserve">. </w:t>
            </w:r>
            <w:r w:rsidR="00D6250E" w:rsidRPr="000C0FD5">
              <w:rPr>
                <w:rFonts w:ascii="Arial" w:hAnsi="Arial" w:cs="Arial"/>
                <w:b/>
              </w:rPr>
              <w:t xml:space="preserve">Program Director </w:t>
            </w:r>
            <w:r w:rsidR="00B34C9C" w:rsidRPr="000C0FD5">
              <w:rPr>
                <w:rFonts w:ascii="Arial" w:hAnsi="Arial" w:cs="Arial"/>
                <w:b/>
              </w:rPr>
              <w:t>Responsibility fo</w:t>
            </w:r>
            <w:r w:rsidR="00D6250E" w:rsidRPr="000C0FD5">
              <w:rPr>
                <w:rFonts w:ascii="Arial" w:hAnsi="Arial" w:cs="Arial"/>
                <w:b/>
              </w:rPr>
              <w:t>r Oversight of Resident Evaluation</w:t>
            </w:r>
          </w:p>
          <w:p w14:paraId="25363F62" w14:textId="455BD626" w:rsidR="00126461" w:rsidRDefault="00971197" w:rsidP="00971197">
            <w:pPr>
              <w:pStyle w:val="ListParagraph"/>
              <w:spacing w:after="0" w:line="240" w:lineRule="auto"/>
              <w:ind w:left="1642" w:hanging="1642"/>
              <w:rPr>
                <w:rFonts w:ascii="Arial" w:hAnsi="Arial" w:cs="Arial"/>
                <w:i/>
                <w:color w:val="808080" w:themeColor="background1" w:themeShade="80"/>
              </w:rPr>
            </w:pPr>
            <w:r>
              <w:rPr>
                <w:rFonts w:ascii="Arial" w:hAnsi="Arial" w:cs="Arial"/>
                <w:i/>
                <w:color w:val="808080" w:themeColor="background1" w:themeShade="80"/>
              </w:rPr>
              <w:t>IV.C.21</w:t>
            </w:r>
            <w:r w:rsidR="00B34C9C" w:rsidRPr="000C0FD5">
              <w:rPr>
                <w:rFonts w:ascii="Arial" w:hAnsi="Arial" w:cs="Arial"/>
                <w:i/>
                <w:color w:val="808080" w:themeColor="background1" w:themeShade="80"/>
              </w:rPr>
              <w:t xml:space="preserve"> </w:t>
            </w:r>
            <w:r>
              <w:rPr>
                <w:rFonts w:ascii="Arial" w:hAnsi="Arial" w:cs="Arial"/>
                <w:i/>
                <w:color w:val="808080" w:themeColor="background1" w:themeShade="80"/>
              </w:rPr>
              <w:tab/>
            </w:r>
            <w:r w:rsidR="00EB2873" w:rsidRPr="000C0FD5">
              <w:rPr>
                <w:rFonts w:ascii="Arial" w:hAnsi="Arial" w:cs="Arial"/>
                <w:i/>
                <w:color w:val="808080" w:themeColor="background1" w:themeShade="80"/>
              </w:rPr>
              <w:t xml:space="preserve">The program director must review written resident performance evaluations from each clinical service on which each resident rotates on a quarterly basis. </w:t>
            </w:r>
            <w:r w:rsidR="00EB2873" w:rsidRPr="005D0DEB">
              <w:rPr>
                <w:rFonts w:ascii="Arial" w:hAnsi="Arial" w:cs="Arial"/>
                <w:i/>
                <w:color w:val="808080" w:themeColor="background1" w:themeShade="80"/>
                <w:vertAlign w:val="superscript"/>
              </w:rPr>
              <w:t>(Core)</w:t>
            </w:r>
          </w:p>
          <w:p w14:paraId="24CB85FF" w14:textId="77777777" w:rsidR="00971197" w:rsidRPr="000C0FD5" w:rsidRDefault="00971197" w:rsidP="00971197">
            <w:pPr>
              <w:pStyle w:val="ListParagraph"/>
              <w:spacing w:after="0" w:line="240" w:lineRule="auto"/>
              <w:ind w:left="1642" w:hanging="1642"/>
              <w:rPr>
                <w:rFonts w:ascii="Arial" w:hAnsi="Arial" w:cs="Arial"/>
                <w:i/>
                <w:color w:val="808080" w:themeColor="background1" w:themeShade="80"/>
              </w:rPr>
            </w:pPr>
          </w:p>
          <w:p w14:paraId="7061BC26" w14:textId="2265E402" w:rsidR="00B34C9C" w:rsidRPr="000C0FD5" w:rsidRDefault="005D0DEB" w:rsidP="00971197">
            <w:pPr>
              <w:pStyle w:val="ListParagraph"/>
              <w:spacing w:after="0" w:line="240" w:lineRule="auto"/>
              <w:ind w:left="1642" w:hanging="1642"/>
              <w:rPr>
                <w:rFonts w:ascii="Arial" w:hAnsi="Arial" w:cs="Arial"/>
                <w:i/>
                <w:color w:val="808080" w:themeColor="background1" w:themeShade="80"/>
              </w:rPr>
            </w:pPr>
            <w:r>
              <w:rPr>
                <w:rFonts w:ascii="Arial" w:hAnsi="Arial" w:cs="Arial"/>
                <w:i/>
                <w:color w:val="808080" w:themeColor="background1" w:themeShade="80"/>
              </w:rPr>
              <w:t>III.A.2.a).(1).(b)</w:t>
            </w:r>
            <w:r w:rsidR="00126461" w:rsidRPr="000C0FD5">
              <w:rPr>
                <w:rFonts w:ascii="Arial" w:hAnsi="Arial" w:cs="Arial"/>
                <w:i/>
                <w:color w:val="808080" w:themeColor="background1" w:themeShade="80"/>
              </w:rPr>
              <w:t xml:space="preserve"> </w:t>
            </w:r>
            <w:r w:rsidR="00971197">
              <w:rPr>
                <w:rFonts w:ascii="Arial" w:hAnsi="Arial" w:cs="Arial"/>
                <w:i/>
                <w:color w:val="808080" w:themeColor="background1" w:themeShade="80"/>
              </w:rPr>
              <w:tab/>
            </w:r>
            <w:r w:rsidR="00126461" w:rsidRPr="000C0FD5">
              <w:rPr>
                <w:rFonts w:ascii="Arial" w:hAnsi="Arial" w:cs="Arial"/>
                <w:i/>
                <w:color w:val="808080" w:themeColor="background1" w:themeShade="80"/>
              </w:rPr>
              <w:t>When a resident complete</w:t>
            </w:r>
            <w:r w:rsidR="00971197">
              <w:rPr>
                <w:rFonts w:ascii="Arial" w:hAnsi="Arial" w:cs="Arial"/>
                <w:i/>
                <w:color w:val="808080" w:themeColor="background1" w:themeShade="80"/>
              </w:rPr>
              <w:t>s</w:t>
            </w:r>
            <w:r w:rsidR="00126461" w:rsidRPr="000C0FD5">
              <w:rPr>
                <w:rFonts w:ascii="Arial" w:hAnsi="Arial" w:cs="Arial"/>
                <w:i/>
                <w:color w:val="808080" w:themeColor="background1" w:themeShade="80"/>
              </w:rPr>
              <w:t xml:space="preserve"> education in fundamental clinical skills of medicine in another accredited program, the anesthesiology program director must ensure that he/she receives the residents’ written performance evaluations. </w:t>
            </w:r>
            <w:r w:rsidR="00126461" w:rsidRPr="000C0FD5">
              <w:rPr>
                <w:rFonts w:ascii="Arial" w:hAnsi="Arial" w:cs="Arial"/>
                <w:i/>
                <w:color w:val="808080" w:themeColor="background1" w:themeShade="80"/>
                <w:vertAlign w:val="superscript"/>
              </w:rPr>
              <w:t>(Core)</w:t>
            </w:r>
          </w:p>
        </w:tc>
      </w:tr>
      <w:tr w:rsidR="00EB1C00" w:rsidRPr="000C0FD5" w14:paraId="30079CFB" w14:textId="77777777" w:rsidTr="00F07D30">
        <w:tc>
          <w:tcPr>
            <w:tcW w:w="4960" w:type="dxa"/>
            <w:vAlign w:val="center"/>
          </w:tcPr>
          <w:p w14:paraId="5F5689D9" w14:textId="2D378B74" w:rsidR="00EB1C00" w:rsidRPr="000C0FD5" w:rsidRDefault="00EB1C00" w:rsidP="009178CA">
            <w:pPr>
              <w:pStyle w:val="ListParagraph"/>
              <w:numPr>
                <w:ilvl w:val="0"/>
                <w:numId w:val="13"/>
              </w:numPr>
              <w:spacing w:after="0" w:line="240" w:lineRule="auto"/>
              <w:rPr>
                <w:rFonts w:ascii="Arial" w:hAnsi="Arial" w:cs="Arial"/>
                <w:color w:val="000000" w:themeColor="text1"/>
              </w:rPr>
            </w:pPr>
            <w:r w:rsidRPr="000C0FD5">
              <w:rPr>
                <w:rFonts w:ascii="Arial" w:hAnsi="Arial" w:cs="Arial"/>
                <w:color w:val="000000" w:themeColor="text1"/>
              </w:rPr>
              <w:t xml:space="preserve">Describe the </w:t>
            </w:r>
            <w:r w:rsidR="00D6250E" w:rsidRPr="000C0FD5">
              <w:rPr>
                <w:rFonts w:ascii="Arial" w:hAnsi="Arial" w:cs="Arial"/>
                <w:color w:val="000000" w:themeColor="text1"/>
              </w:rPr>
              <w:t xml:space="preserve">process and/or </w:t>
            </w:r>
            <w:r w:rsidRPr="000C0FD5">
              <w:rPr>
                <w:rFonts w:ascii="Arial" w:hAnsi="Arial" w:cs="Arial"/>
                <w:color w:val="000000" w:themeColor="text1"/>
              </w:rPr>
              <w:t>mechanism</w:t>
            </w:r>
            <w:r w:rsidR="00D6250E" w:rsidRPr="000C0FD5">
              <w:rPr>
                <w:rFonts w:ascii="Arial" w:hAnsi="Arial" w:cs="Arial"/>
                <w:color w:val="000000" w:themeColor="text1"/>
              </w:rPr>
              <w:t>s</w:t>
            </w:r>
            <w:r w:rsidRPr="000C0FD5">
              <w:rPr>
                <w:rFonts w:ascii="Arial" w:hAnsi="Arial" w:cs="Arial"/>
                <w:color w:val="000000" w:themeColor="text1"/>
              </w:rPr>
              <w:t xml:space="preserve"> the program director will use to </w:t>
            </w:r>
            <w:r w:rsidR="00662C45" w:rsidRPr="000C0FD5">
              <w:rPr>
                <w:rFonts w:ascii="Arial" w:hAnsi="Arial" w:cs="Arial"/>
                <w:color w:val="000000" w:themeColor="text1"/>
              </w:rPr>
              <w:t>review</w:t>
            </w:r>
            <w:r w:rsidRPr="000C0FD5">
              <w:rPr>
                <w:rFonts w:ascii="Arial" w:hAnsi="Arial" w:cs="Arial"/>
                <w:color w:val="000000" w:themeColor="text1"/>
              </w:rPr>
              <w:t xml:space="preserve"> resident</w:t>
            </w:r>
            <w:r w:rsidR="00D65691" w:rsidRPr="000C0FD5">
              <w:rPr>
                <w:rFonts w:ascii="Arial" w:hAnsi="Arial" w:cs="Arial"/>
                <w:color w:val="000000" w:themeColor="text1"/>
              </w:rPr>
              <w:t>s’</w:t>
            </w:r>
            <w:r w:rsidRPr="000C0FD5">
              <w:rPr>
                <w:rFonts w:ascii="Arial" w:hAnsi="Arial" w:cs="Arial"/>
                <w:color w:val="000000" w:themeColor="text1"/>
              </w:rPr>
              <w:t xml:space="preserve"> written evaluations</w:t>
            </w:r>
            <w:bookmarkStart w:id="0" w:name="_GoBack"/>
            <w:bookmarkEnd w:id="0"/>
            <w:r w:rsidR="00EB7DD9" w:rsidRPr="000C0FD5">
              <w:rPr>
                <w:rFonts w:ascii="Arial" w:hAnsi="Arial" w:cs="Arial"/>
                <w:color w:val="000000" w:themeColor="text1"/>
              </w:rPr>
              <w:t>.</w:t>
            </w:r>
          </w:p>
        </w:tc>
        <w:tc>
          <w:tcPr>
            <w:tcW w:w="5300" w:type="dxa"/>
            <w:shd w:val="clear" w:color="auto" w:fill="F2F2F2"/>
          </w:tcPr>
          <w:p w14:paraId="15F340BF" w14:textId="77777777" w:rsidR="00EB1C00" w:rsidRPr="000C0FD5" w:rsidRDefault="00EB1C00" w:rsidP="00F07D30">
            <w:pPr>
              <w:pStyle w:val="ListParagraph"/>
              <w:spacing w:after="0" w:line="240" w:lineRule="auto"/>
              <w:ind w:left="0"/>
              <w:rPr>
                <w:rFonts w:ascii="Arial" w:hAnsi="Arial" w:cs="Arial"/>
              </w:rPr>
            </w:pPr>
          </w:p>
        </w:tc>
      </w:tr>
    </w:tbl>
    <w:p w14:paraId="2F1E0880" w14:textId="291D97D0" w:rsidR="00EB1C00" w:rsidRPr="000C0FD5" w:rsidRDefault="00EB1C00" w:rsidP="00D46440">
      <w:pPr>
        <w:spacing w:after="0" w:line="240" w:lineRule="auto"/>
        <w:rPr>
          <w:rFonts w:ascii="Arial" w:hAnsi="Arial" w:cs="Arial"/>
        </w:rPr>
      </w:pPr>
    </w:p>
    <w:p w14:paraId="6F55C02E" w14:textId="47BA98B3" w:rsidR="00D65691" w:rsidRPr="000C0FD5" w:rsidRDefault="00D65691" w:rsidP="00D46440">
      <w:pPr>
        <w:spacing w:after="0" w:line="240" w:lineRule="auto"/>
        <w:rPr>
          <w:rFonts w:ascii="Arial" w:hAnsi="Arial" w:cs="Arial"/>
        </w:rPr>
      </w:pPr>
    </w:p>
    <w:p w14:paraId="715A375A" w14:textId="09F5F696" w:rsidR="00D65691" w:rsidRPr="000C0FD5" w:rsidRDefault="00D65691" w:rsidP="00D46440">
      <w:pPr>
        <w:spacing w:after="0" w:line="240" w:lineRule="auto"/>
        <w:rPr>
          <w:rFonts w:ascii="Arial" w:hAnsi="Arial" w:cs="Arial"/>
          <w:sz w:val="28"/>
        </w:rPr>
      </w:pPr>
      <w:r w:rsidRPr="000C0FD5">
        <w:rPr>
          <w:rFonts w:ascii="Arial" w:hAnsi="Arial" w:cs="Arial"/>
          <w:color w:val="000000"/>
          <w:sz w:val="28"/>
        </w:rPr>
        <w:t>Attachments Checklist</w:t>
      </w:r>
    </w:p>
    <w:tbl>
      <w:tblPr>
        <w:tblStyle w:val="TableGrid"/>
        <w:tblW w:w="10260" w:type="dxa"/>
        <w:tblInd w:w="7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CellMar>
          <w:top w:w="72" w:type="dxa"/>
          <w:left w:w="72" w:type="dxa"/>
          <w:bottom w:w="72" w:type="dxa"/>
          <w:right w:w="72" w:type="dxa"/>
        </w:tblCellMar>
        <w:tblLook w:val="04A0" w:firstRow="1" w:lastRow="0" w:firstColumn="1" w:lastColumn="0" w:noHBand="0" w:noVBand="1"/>
      </w:tblPr>
      <w:tblGrid>
        <w:gridCol w:w="540"/>
        <w:gridCol w:w="9720"/>
      </w:tblGrid>
      <w:tr w:rsidR="00D46440" w:rsidRPr="000C0FD5" w14:paraId="09A59D29" w14:textId="77777777" w:rsidTr="00AE02DB">
        <w:tc>
          <w:tcPr>
            <w:tcW w:w="540" w:type="dxa"/>
            <w:shd w:val="clear" w:color="auto" w:fill="F2F2F2" w:themeFill="background1" w:themeFillShade="F2"/>
            <w:vAlign w:val="center"/>
          </w:tcPr>
          <w:p w14:paraId="015C7FFA" w14:textId="77777777" w:rsidR="00D46440" w:rsidRPr="000C0FD5" w:rsidRDefault="00D46440" w:rsidP="00AE02DB">
            <w:pPr>
              <w:pStyle w:val="ListParagraph"/>
              <w:spacing w:after="0" w:line="240" w:lineRule="auto"/>
              <w:ind w:left="0"/>
              <w:jc w:val="center"/>
              <w:rPr>
                <w:rFonts w:ascii="Arial" w:hAnsi="Arial" w:cs="Arial"/>
                <w:color w:val="000000"/>
              </w:rPr>
            </w:pPr>
          </w:p>
        </w:tc>
        <w:tc>
          <w:tcPr>
            <w:tcW w:w="9720" w:type="dxa"/>
          </w:tcPr>
          <w:p w14:paraId="54A644AE" w14:textId="49A2E3DC" w:rsidR="00D46440" w:rsidRPr="000C0FD5" w:rsidRDefault="00D46440" w:rsidP="00D46440">
            <w:pPr>
              <w:pStyle w:val="ListParagraph"/>
              <w:spacing w:after="0" w:line="240" w:lineRule="auto"/>
              <w:ind w:left="0"/>
              <w:rPr>
                <w:rFonts w:ascii="Arial" w:hAnsi="Arial" w:cs="Arial"/>
                <w:color w:val="000000"/>
              </w:rPr>
            </w:pPr>
            <w:r w:rsidRPr="000C0FD5">
              <w:rPr>
                <w:rFonts w:ascii="Arial" w:hAnsi="Arial" w:cs="Arial"/>
                <w:color w:val="000000"/>
              </w:rPr>
              <w:t xml:space="preserve">Include as </w:t>
            </w:r>
            <w:r w:rsidRPr="000C0FD5">
              <w:rPr>
                <w:rFonts w:ascii="Arial" w:hAnsi="Arial" w:cs="Arial"/>
                <w:b/>
                <w:color w:val="000000"/>
              </w:rPr>
              <w:t>Attachment A</w:t>
            </w:r>
            <w:r w:rsidRPr="000C0FD5">
              <w:rPr>
                <w:rFonts w:ascii="Arial" w:hAnsi="Arial" w:cs="Arial"/>
                <w:color w:val="000000"/>
              </w:rPr>
              <w:t xml:space="preserve"> the rotation schedule (block diagram)</w:t>
            </w:r>
          </w:p>
        </w:tc>
      </w:tr>
      <w:tr w:rsidR="00D46440" w:rsidRPr="000C0FD5" w14:paraId="02878796" w14:textId="77777777" w:rsidTr="00AE02DB">
        <w:tc>
          <w:tcPr>
            <w:tcW w:w="540" w:type="dxa"/>
            <w:shd w:val="clear" w:color="auto" w:fill="F2F2F2" w:themeFill="background1" w:themeFillShade="F2"/>
            <w:vAlign w:val="center"/>
          </w:tcPr>
          <w:p w14:paraId="318AD396" w14:textId="77777777" w:rsidR="00D46440" w:rsidRPr="000C0FD5" w:rsidRDefault="00D46440" w:rsidP="00AE02DB">
            <w:pPr>
              <w:pStyle w:val="ListParagraph"/>
              <w:spacing w:after="0" w:line="240" w:lineRule="auto"/>
              <w:ind w:left="0"/>
              <w:jc w:val="center"/>
              <w:rPr>
                <w:rFonts w:ascii="Arial" w:hAnsi="Arial" w:cs="Arial"/>
                <w:color w:val="000000"/>
              </w:rPr>
            </w:pPr>
          </w:p>
        </w:tc>
        <w:tc>
          <w:tcPr>
            <w:tcW w:w="9720" w:type="dxa"/>
          </w:tcPr>
          <w:p w14:paraId="35E3E2FB" w14:textId="090C5E58" w:rsidR="00D46440" w:rsidRPr="000C0FD5" w:rsidRDefault="00D46440" w:rsidP="00D46440">
            <w:pPr>
              <w:pStyle w:val="ListParagraph"/>
              <w:spacing w:after="0" w:line="240" w:lineRule="auto"/>
              <w:ind w:left="0"/>
              <w:rPr>
                <w:rFonts w:ascii="Arial" w:hAnsi="Arial" w:cs="Arial"/>
                <w:color w:val="000000"/>
              </w:rPr>
            </w:pPr>
            <w:r w:rsidRPr="000C0FD5">
              <w:rPr>
                <w:rFonts w:ascii="Arial" w:hAnsi="Arial" w:cs="Arial"/>
                <w:color w:val="000000"/>
              </w:rPr>
              <w:t xml:space="preserve">Include as </w:t>
            </w:r>
            <w:r w:rsidRPr="000C0FD5">
              <w:rPr>
                <w:rFonts w:ascii="Arial" w:hAnsi="Arial" w:cs="Arial"/>
                <w:b/>
                <w:color w:val="000000"/>
              </w:rPr>
              <w:t>Attachment B</w:t>
            </w:r>
            <w:r w:rsidRPr="000C0FD5">
              <w:rPr>
                <w:rFonts w:ascii="Arial" w:hAnsi="Arial" w:cs="Arial"/>
                <w:color w:val="000000"/>
              </w:rPr>
              <w:t xml:space="preserve"> the goals and objectives for each rotation</w:t>
            </w:r>
          </w:p>
        </w:tc>
      </w:tr>
      <w:tr w:rsidR="00266FFA" w:rsidRPr="000C0FD5" w14:paraId="7C825E2B" w14:textId="77777777" w:rsidTr="00AE02DB">
        <w:tc>
          <w:tcPr>
            <w:tcW w:w="540" w:type="dxa"/>
            <w:shd w:val="clear" w:color="auto" w:fill="F2F2F2" w:themeFill="background1" w:themeFillShade="F2"/>
            <w:vAlign w:val="center"/>
          </w:tcPr>
          <w:p w14:paraId="24693526" w14:textId="77777777" w:rsidR="00266FFA" w:rsidRPr="000C0FD5" w:rsidRDefault="00266FFA" w:rsidP="00266FFA">
            <w:pPr>
              <w:pStyle w:val="Default"/>
              <w:jc w:val="center"/>
              <w:rPr>
                <w:sz w:val="22"/>
                <w:szCs w:val="22"/>
              </w:rPr>
            </w:pPr>
          </w:p>
        </w:tc>
        <w:tc>
          <w:tcPr>
            <w:tcW w:w="9720" w:type="dxa"/>
          </w:tcPr>
          <w:p w14:paraId="7328BA5C" w14:textId="3A8C0D44" w:rsidR="00266FFA" w:rsidRPr="000C0FD5" w:rsidRDefault="00266FFA" w:rsidP="00266FFA">
            <w:pPr>
              <w:pStyle w:val="Default"/>
              <w:rPr>
                <w:sz w:val="22"/>
                <w:szCs w:val="22"/>
              </w:rPr>
            </w:pPr>
            <w:r w:rsidRPr="000C0FD5">
              <w:rPr>
                <w:sz w:val="22"/>
                <w:szCs w:val="22"/>
              </w:rPr>
              <w:t xml:space="preserve">Include as </w:t>
            </w:r>
            <w:r w:rsidRPr="000C0FD5">
              <w:rPr>
                <w:b/>
                <w:sz w:val="22"/>
                <w:szCs w:val="22"/>
              </w:rPr>
              <w:t>Attachment C</w:t>
            </w:r>
            <w:r w:rsidRPr="000C0FD5">
              <w:rPr>
                <w:sz w:val="22"/>
                <w:szCs w:val="22"/>
              </w:rPr>
              <w:t xml:space="preserve"> the CBY resident supervision policies for each rotation</w:t>
            </w:r>
          </w:p>
        </w:tc>
      </w:tr>
      <w:tr w:rsidR="00266FFA" w:rsidRPr="000C0FD5" w14:paraId="7F99F661" w14:textId="77777777" w:rsidTr="00AE02DB">
        <w:tc>
          <w:tcPr>
            <w:tcW w:w="540" w:type="dxa"/>
            <w:shd w:val="clear" w:color="auto" w:fill="F2F2F2" w:themeFill="background1" w:themeFillShade="F2"/>
            <w:vAlign w:val="center"/>
          </w:tcPr>
          <w:p w14:paraId="3063967A" w14:textId="77777777" w:rsidR="00266FFA" w:rsidRPr="000C0FD5" w:rsidRDefault="00266FFA" w:rsidP="00266FFA">
            <w:pPr>
              <w:pStyle w:val="Default"/>
              <w:jc w:val="center"/>
              <w:rPr>
                <w:sz w:val="22"/>
                <w:szCs w:val="22"/>
              </w:rPr>
            </w:pPr>
          </w:p>
        </w:tc>
        <w:tc>
          <w:tcPr>
            <w:tcW w:w="9720" w:type="dxa"/>
          </w:tcPr>
          <w:p w14:paraId="77908DB9" w14:textId="29E5C57E" w:rsidR="00266FFA" w:rsidRPr="000C0FD5" w:rsidRDefault="00266FFA" w:rsidP="00266FFA">
            <w:pPr>
              <w:pStyle w:val="Default"/>
              <w:rPr>
                <w:sz w:val="22"/>
                <w:szCs w:val="22"/>
              </w:rPr>
            </w:pPr>
            <w:r w:rsidRPr="000C0FD5">
              <w:rPr>
                <w:sz w:val="22"/>
                <w:szCs w:val="22"/>
              </w:rPr>
              <w:t xml:space="preserve">Include as </w:t>
            </w:r>
            <w:r w:rsidRPr="000C0FD5">
              <w:rPr>
                <w:b/>
                <w:sz w:val="22"/>
                <w:szCs w:val="22"/>
              </w:rPr>
              <w:t>Attachment D</w:t>
            </w:r>
            <w:r w:rsidRPr="000C0FD5">
              <w:rPr>
                <w:sz w:val="22"/>
                <w:szCs w:val="22"/>
              </w:rPr>
              <w:t xml:space="preserve"> a list/schedule of the didactic experiences that will be provided (lectures, conferences, grand rounds, </w:t>
            </w:r>
            <w:r w:rsidR="00662C45" w:rsidRPr="000C0FD5">
              <w:rPr>
                <w:sz w:val="22"/>
                <w:szCs w:val="22"/>
              </w:rPr>
              <w:t>and journal</w:t>
            </w:r>
            <w:r w:rsidRPr="000C0FD5">
              <w:rPr>
                <w:sz w:val="22"/>
                <w:szCs w:val="22"/>
              </w:rPr>
              <w:t xml:space="preserve"> clubs)</w:t>
            </w:r>
          </w:p>
        </w:tc>
      </w:tr>
      <w:tr w:rsidR="00266FFA" w:rsidRPr="000C0FD5" w14:paraId="00EB7A46" w14:textId="77777777" w:rsidTr="00AE02DB">
        <w:tc>
          <w:tcPr>
            <w:tcW w:w="540" w:type="dxa"/>
            <w:shd w:val="clear" w:color="auto" w:fill="F2F2F2" w:themeFill="background1" w:themeFillShade="F2"/>
            <w:vAlign w:val="center"/>
          </w:tcPr>
          <w:p w14:paraId="508DD0F6" w14:textId="77777777" w:rsidR="00266FFA" w:rsidRPr="000C0FD5" w:rsidRDefault="00266FFA" w:rsidP="00266FFA">
            <w:pPr>
              <w:pStyle w:val="ListParagraph"/>
              <w:spacing w:after="0" w:line="240" w:lineRule="auto"/>
              <w:ind w:left="0"/>
              <w:jc w:val="center"/>
              <w:rPr>
                <w:rFonts w:ascii="Arial" w:hAnsi="Arial" w:cs="Arial"/>
                <w:color w:val="000000"/>
              </w:rPr>
            </w:pPr>
          </w:p>
        </w:tc>
        <w:tc>
          <w:tcPr>
            <w:tcW w:w="9720" w:type="dxa"/>
          </w:tcPr>
          <w:p w14:paraId="6B965298" w14:textId="6ED639CE" w:rsidR="00266FFA" w:rsidRPr="000C0FD5" w:rsidRDefault="00266FFA" w:rsidP="00266FFA">
            <w:pPr>
              <w:pStyle w:val="ListParagraph"/>
              <w:spacing w:after="0" w:line="240" w:lineRule="auto"/>
              <w:ind w:left="0"/>
              <w:rPr>
                <w:rFonts w:ascii="Arial" w:hAnsi="Arial" w:cs="Arial"/>
                <w:color w:val="000000"/>
              </w:rPr>
            </w:pPr>
            <w:r w:rsidRPr="000C0FD5">
              <w:rPr>
                <w:rFonts w:ascii="Arial" w:hAnsi="Arial" w:cs="Arial"/>
                <w:color w:val="000000"/>
              </w:rPr>
              <w:t xml:space="preserve">Include as </w:t>
            </w:r>
            <w:r w:rsidRPr="000C0FD5">
              <w:rPr>
                <w:rFonts w:ascii="Arial" w:hAnsi="Arial" w:cs="Arial"/>
                <w:b/>
                <w:color w:val="000000"/>
              </w:rPr>
              <w:t>Attachment E</w:t>
            </w:r>
            <w:r w:rsidRPr="000C0FD5">
              <w:rPr>
                <w:rFonts w:ascii="Arial" w:hAnsi="Arial" w:cs="Arial"/>
                <w:color w:val="000000"/>
              </w:rPr>
              <w:t xml:space="preserve"> the evaluation forms that will be used for each rotation (of the faculty by the residents, of the program by the residents, and of the residents by the faculty)</w:t>
            </w:r>
          </w:p>
        </w:tc>
      </w:tr>
      <w:tr w:rsidR="00266FFA" w:rsidRPr="000C0FD5" w14:paraId="31D7834D" w14:textId="77777777" w:rsidTr="00AE02DB">
        <w:tc>
          <w:tcPr>
            <w:tcW w:w="540" w:type="dxa"/>
            <w:shd w:val="clear" w:color="auto" w:fill="F2F2F2" w:themeFill="background1" w:themeFillShade="F2"/>
            <w:vAlign w:val="center"/>
          </w:tcPr>
          <w:p w14:paraId="64BE7604" w14:textId="77777777" w:rsidR="00266FFA" w:rsidRPr="000C0FD5" w:rsidRDefault="00266FFA" w:rsidP="00266FFA">
            <w:pPr>
              <w:pStyle w:val="ListParagraph"/>
              <w:spacing w:after="0" w:line="240" w:lineRule="auto"/>
              <w:ind w:left="0"/>
              <w:jc w:val="center"/>
              <w:rPr>
                <w:rFonts w:ascii="Arial" w:hAnsi="Arial" w:cs="Arial"/>
                <w:color w:val="000000"/>
              </w:rPr>
            </w:pPr>
          </w:p>
        </w:tc>
        <w:tc>
          <w:tcPr>
            <w:tcW w:w="9720" w:type="dxa"/>
          </w:tcPr>
          <w:p w14:paraId="79C26632" w14:textId="2B74752B" w:rsidR="00266FFA" w:rsidRPr="000C0FD5" w:rsidRDefault="00266FFA" w:rsidP="00266FFA">
            <w:pPr>
              <w:pStyle w:val="ListParagraph"/>
              <w:spacing w:after="0" w:line="240" w:lineRule="auto"/>
              <w:ind w:left="0"/>
              <w:rPr>
                <w:rFonts w:ascii="Arial" w:hAnsi="Arial" w:cs="Arial"/>
                <w:color w:val="000000"/>
              </w:rPr>
            </w:pPr>
            <w:r w:rsidRPr="000C0FD5">
              <w:rPr>
                <w:rFonts w:ascii="Arial" w:hAnsi="Arial" w:cs="Arial"/>
                <w:color w:val="000000"/>
              </w:rPr>
              <w:t xml:space="preserve">Include as </w:t>
            </w:r>
            <w:r w:rsidRPr="000C0FD5">
              <w:rPr>
                <w:rFonts w:ascii="Arial" w:hAnsi="Arial" w:cs="Arial"/>
                <w:b/>
                <w:color w:val="000000"/>
              </w:rPr>
              <w:t>Attachment F</w:t>
            </w:r>
            <w:r w:rsidRPr="000C0FD5">
              <w:rPr>
                <w:rFonts w:ascii="Arial" w:hAnsi="Arial" w:cs="Arial"/>
                <w:color w:val="000000"/>
              </w:rPr>
              <w:t xml:space="preserve"> a one-page CV for each of the supervising faculty members for each rotation</w:t>
            </w:r>
          </w:p>
        </w:tc>
      </w:tr>
      <w:tr w:rsidR="00266FFA" w:rsidRPr="000C0FD5" w14:paraId="1C0154AF" w14:textId="77777777" w:rsidTr="00AE02DB">
        <w:tc>
          <w:tcPr>
            <w:tcW w:w="540" w:type="dxa"/>
            <w:shd w:val="clear" w:color="auto" w:fill="F2F2F2" w:themeFill="background1" w:themeFillShade="F2"/>
            <w:vAlign w:val="center"/>
          </w:tcPr>
          <w:p w14:paraId="33D4F39F" w14:textId="77777777" w:rsidR="00266FFA" w:rsidRPr="000C0FD5" w:rsidRDefault="00266FFA" w:rsidP="00266FFA">
            <w:pPr>
              <w:pStyle w:val="ListParagraph"/>
              <w:spacing w:after="0" w:line="240" w:lineRule="auto"/>
              <w:ind w:left="0"/>
              <w:jc w:val="center"/>
              <w:rPr>
                <w:rFonts w:ascii="Arial" w:hAnsi="Arial" w:cs="Arial"/>
                <w:color w:val="000000"/>
              </w:rPr>
            </w:pPr>
          </w:p>
        </w:tc>
        <w:tc>
          <w:tcPr>
            <w:tcW w:w="9720" w:type="dxa"/>
          </w:tcPr>
          <w:p w14:paraId="0B92DBA7" w14:textId="2DBFCAAA" w:rsidR="00266FFA" w:rsidRPr="000C0FD5" w:rsidRDefault="00266FFA" w:rsidP="00266FFA">
            <w:pPr>
              <w:pStyle w:val="ListParagraph"/>
              <w:spacing w:after="0" w:line="240" w:lineRule="auto"/>
              <w:ind w:left="0"/>
              <w:rPr>
                <w:rFonts w:ascii="Arial" w:hAnsi="Arial" w:cs="Arial"/>
                <w:color w:val="000000"/>
              </w:rPr>
            </w:pPr>
            <w:r w:rsidRPr="000C0FD5">
              <w:rPr>
                <w:rFonts w:ascii="Arial" w:hAnsi="Arial" w:cs="Arial"/>
                <w:color w:val="000000"/>
              </w:rPr>
              <w:t xml:space="preserve">Include as </w:t>
            </w:r>
            <w:r w:rsidRPr="000C0FD5">
              <w:rPr>
                <w:rFonts w:ascii="Arial" w:hAnsi="Arial" w:cs="Arial"/>
                <w:b/>
                <w:color w:val="000000"/>
              </w:rPr>
              <w:t>Attachment G</w:t>
            </w:r>
            <w:r w:rsidRPr="000C0FD5">
              <w:rPr>
                <w:rFonts w:ascii="Arial" w:hAnsi="Arial" w:cs="Arial"/>
                <w:color w:val="000000"/>
              </w:rPr>
              <w:t xml:space="preserve"> a record of the GMEC’s review and approval</w:t>
            </w:r>
          </w:p>
        </w:tc>
      </w:tr>
    </w:tbl>
    <w:p w14:paraId="64BFD09F" w14:textId="77777777" w:rsidR="00673208" w:rsidRPr="000C0FD5" w:rsidRDefault="00673208" w:rsidP="00AB35AC">
      <w:pPr>
        <w:jc w:val="center"/>
        <w:rPr>
          <w:rFonts w:ascii="Arial" w:hAnsi="Arial" w:cs="Arial"/>
        </w:rPr>
      </w:pPr>
    </w:p>
    <w:sectPr w:rsidR="00673208" w:rsidRPr="000C0FD5" w:rsidSect="000D6E1F">
      <w:footerReference w:type="default" r:id="rId8"/>
      <w:pgSz w:w="12240" w:h="15840"/>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3BC36" w14:textId="77777777" w:rsidR="00C06B20" w:rsidRDefault="00C06B20" w:rsidP="00AE02DB">
      <w:pPr>
        <w:spacing w:after="0" w:line="240" w:lineRule="auto"/>
      </w:pPr>
      <w:r>
        <w:separator/>
      </w:r>
    </w:p>
  </w:endnote>
  <w:endnote w:type="continuationSeparator" w:id="0">
    <w:p w14:paraId="60675CD6" w14:textId="77777777" w:rsidR="00C06B20" w:rsidRDefault="00C06B20" w:rsidP="00AE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114B" w14:textId="09DF48C5" w:rsidR="000D6E1F" w:rsidRDefault="00971197" w:rsidP="000D6E1F">
    <w:pPr>
      <w:pStyle w:val="Footer"/>
      <w:jc w:val="right"/>
      <w:rPr>
        <w:rFonts w:ascii="Arial" w:hAnsi="Arial" w:cs="Arial"/>
        <w:sz w:val="18"/>
        <w:szCs w:val="20"/>
      </w:rPr>
    </w:pPr>
    <w:r>
      <w:rPr>
        <w:rFonts w:ascii="Arial" w:hAnsi="Arial" w:cs="Arial"/>
        <w:sz w:val="18"/>
        <w:szCs w:val="20"/>
      </w:rPr>
      <w:t>03/2020</w:t>
    </w:r>
  </w:p>
  <w:p w14:paraId="215FB484" w14:textId="398CFF62" w:rsidR="00AB35AC" w:rsidRPr="00AB35AC" w:rsidRDefault="00AB35AC">
    <w:pPr>
      <w:pStyle w:val="Footer"/>
      <w:rPr>
        <w:sz w:val="20"/>
      </w:rPr>
    </w:pPr>
    <w:r w:rsidRPr="00AB35AC">
      <w:rPr>
        <w:rFonts w:ascii="Arial" w:hAnsi="Arial" w:cs="Arial"/>
        <w:sz w:val="18"/>
        <w:szCs w:val="20"/>
      </w:rPr>
      <w:t>©20</w:t>
    </w:r>
    <w:r w:rsidR="00971197">
      <w:rPr>
        <w:rFonts w:ascii="Arial" w:hAnsi="Arial" w:cs="Arial"/>
        <w:sz w:val="18"/>
        <w:szCs w:val="20"/>
      </w:rPr>
      <w:t>20</w:t>
    </w:r>
    <w:r w:rsidRPr="00AB35AC">
      <w:rPr>
        <w:rFonts w:ascii="Arial" w:hAnsi="Arial" w:cs="Arial"/>
        <w:sz w:val="18"/>
        <w:szCs w:val="20"/>
      </w:rPr>
      <w:t xml:space="preserve">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FFC3E" w14:textId="77777777" w:rsidR="00C06B20" w:rsidRDefault="00C06B20" w:rsidP="00AE02DB">
      <w:pPr>
        <w:spacing w:after="0" w:line="240" w:lineRule="auto"/>
      </w:pPr>
      <w:r>
        <w:separator/>
      </w:r>
    </w:p>
  </w:footnote>
  <w:footnote w:type="continuationSeparator" w:id="0">
    <w:p w14:paraId="3FA161DE" w14:textId="77777777" w:rsidR="00C06B20" w:rsidRDefault="00C06B20" w:rsidP="00AE0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824"/>
    <w:multiLevelType w:val="hybridMultilevel"/>
    <w:tmpl w:val="3176EB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87EC2"/>
    <w:multiLevelType w:val="hybridMultilevel"/>
    <w:tmpl w:val="398E7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E6C85"/>
    <w:multiLevelType w:val="hybridMultilevel"/>
    <w:tmpl w:val="E7BA8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33A93"/>
    <w:multiLevelType w:val="hybridMultilevel"/>
    <w:tmpl w:val="C3EA5D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D90389"/>
    <w:multiLevelType w:val="hybridMultilevel"/>
    <w:tmpl w:val="42726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646C0"/>
    <w:multiLevelType w:val="hybridMultilevel"/>
    <w:tmpl w:val="AD52C3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15CBE"/>
    <w:multiLevelType w:val="hybridMultilevel"/>
    <w:tmpl w:val="5100C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15CF1"/>
    <w:multiLevelType w:val="hybridMultilevel"/>
    <w:tmpl w:val="A6FA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024E0"/>
    <w:multiLevelType w:val="hybridMultilevel"/>
    <w:tmpl w:val="688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3310B"/>
    <w:multiLevelType w:val="hybridMultilevel"/>
    <w:tmpl w:val="EE3865F4"/>
    <w:lvl w:ilvl="0" w:tplc="AC6676E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651D4"/>
    <w:multiLevelType w:val="hybridMultilevel"/>
    <w:tmpl w:val="D7068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0077BB"/>
    <w:multiLevelType w:val="hybridMultilevel"/>
    <w:tmpl w:val="5A42F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467C1"/>
    <w:multiLevelType w:val="hybridMultilevel"/>
    <w:tmpl w:val="4D2E4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8"/>
  </w:num>
  <w:num w:numId="5">
    <w:abstractNumId w:val="5"/>
  </w:num>
  <w:num w:numId="6">
    <w:abstractNumId w:val="6"/>
  </w:num>
  <w:num w:numId="7">
    <w:abstractNumId w:val="0"/>
  </w:num>
  <w:num w:numId="8">
    <w:abstractNumId w:val="1"/>
  </w:num>
  <w:num w:numId="9">
    <w:abstractNumId w:val="2"/>
  </w:num>
  <w:num w:numId="10">
    <w:abstractNumId w:val="9"/>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CF4"/>
    <w:rsid w:val="000265AE"/>
    <w:rsid w:val="000359E2"/>
    <w:rsid w:val="000B647B"/>
    <w:rsid w:val="000C0FD5"/>
    <w:rsid w:val="000D6E1F"/>
    <w:rsid w:val="00126461"/>
    <w:rsid w:val="0019161D"/>
    <w:rsid w:val="00224FC3"/>
    <w:rsid w:val="00226138"/>
    <w:rsid w:val="002271AD"/>
    <w:rsid w:val="00266FFA"/>
    <w:rsid w:val="002F5ACC"/>
    <w:rsid w:val="00356E4D"/>
    <w:rsid w:val="00360AD7"/>
    <w:rsid w:val="00374275"/>
    <w:rsid w:val="003A672C"/>
    <w:rsid w:val="003B283C"/>
    <w:rsid w:val="003F2925"/>
    <w:rsid w:val="00477B7F"/>
    <w:rsid w:val="00490CF4"/>
    <w:rsid w:val="004A4A49"/>
    <w:rsid w:val="004C0306"/>
    <w:rsid w:val="004D4152"/>
    <w:rsid w:val="005D0DEB"/>
    <w:rsid w:val="00662C45"/>
    <w:rsid w:val="00665B09"/>
    <w:rsid w:val="00673208"/>
    <w:rsid w:val="00680DDA"/>
    <w:rsid w:val="006F3466"/>
    <w:rsid w:val="0072593A"/>
    <w:rsid w:val="00761A3C"/>
    <w:rsid w:val="007A10E1"/>
    <w:rsid w:val="007C5289"/>
    <w:rsid w:val="00883D52"/>
    <w:rsid w:val="008850A6"/>
    <w:rsid w:val="008C1EF5"/>
    <w:rsid w:val="00910745"/>
    <w:rsid w:val="009178CA"/>
    <w:rsid w:val="0092682C"/>
    <w:rsid w:val="00971197"/>
    <w:rsid w:val="009D573B"/>
    <w:rsid w:val="00A82472"/>
    <w:rsid w:val="00A82C9E"/>
    <w:rsid w:val="00AB35AC"/>
    <w:rsid w:val="00AC69EB"/>
    <w:rsid w:val="00AE02DB"/>
    <w:rsid w:val="00AF157C"/>
    <w:rsid w:val="00B0328F"/>
    <w:rsid w:val="00B34C9C"/>
    <w:rsid w:val="00B6647D"/>
    <w:rsid w:val="00B9051E"/>
    <w:rsid w:val="00BC2281"/>
    <w:rsid w:val="00BF3416"/>
    <w:rsid w:val="00C06B20"/>
    <w:rsid w:val="00C8600D"/>
    <w:rsid w:val="00C93B0C"/>
    <w:rsid w:val="00D06312"/>
    <w:rsid w:val="00D46440"/>
    <w:rsid w:val="00D547C9"/>
    <w:rsid w:val="00D6250E"/>
    <w:rsid w:val="00D65691"/>
    <w:rsid w:val="00DB7B16"/>
    <w:rsid w:val="00DD2E28"/>
    <w:rsid w:val="00DD4247"/>
    <w:rsid w:val="00E1185C"/>
    <w:rsid w:val="00E44A3F"/>
    <w:rsid w:val="00E7690C"/>
    <w:rsid w:val="00EB1C00"/>
    <w:rsid w:val="00EB1FFA"/>
    <w:rsid w:val="00EB2873"/>
    <w:rsid w:val="00EB7DD9"/>
    <w:rsid w:val="00EE2B0C"/>
    <w:rsid w:val="00F42E5E"/>
    <w:rsid w:val="00F46485"/>
    <w:rsid w:val="00F7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93A1"/>
  <w15:docId w15:val="{F4746511-B4B0-4A04-B5A8-444F3C1F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6E4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F4"/>
    <w:pPr>
      <w:ind w:left="720"/>
      <w:contextualSpacing/>
    </w:pPr>
  </w:style>
  <w:style w:type="table" w:styleId="TableGrid">
    <w:name w:val="Table Grid"/>
    <w:basedOn w:val="TableNormal"/>
    <w:uiPriority w:val="59"/>
    <w:rsid w:val="00BC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644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AE0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2DB"/>
    <w:rPr>
      <w:sz w:val="22"/>
      <w:szCs w:val="22"/>
    </w:rPr>
  </w:style>
  <w:style w:type="paragraph" w:styleId="Footer">
    <w:name w:val="footer"/>
    <w:basedOn w:val="Normal"/>
    <w:link w:val="FooterChar"/>
    <w:uiPriority w:val="99"/>
    <w:unhideWhenUsed/>
    <w:rsid w:val="00AE0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2DB"/>
    <w:rPr>
      <w:sz w:val="22"/>
      <w:szCs w:val="22"/>
    </w:rPr>
  </w:style>
  <w:style w:type="paragraph" w:styleId="BalloonText">
    <w:name w:val="Balloon Text"/>
    <w:basedOn w:val="Normal"/>
    <w:link w:val="BalloonTextChar"/>
    <w:uiPriority w:val="99"/>
    <w:semiHidden/>
    <w:unhideWhenUsed/>
    <w:rsid w:val="00AB3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AC"/>
    <w:rPr>
      <w:rFonts w:ascii="Tahoma" w:hAnsi="Tahoma" w:cs="Tahoma"/>
      <w:sz w:val="16"/>
      <w:szCs w:val="16"/>
    </w:rPr>
  </w:style>
  <w:style w:type="character" w:styleId="Hyperlink">
    <w:name w:val="Hyperlink"/>
    <w:basedOn w:val="DefaultParagraphFont"/>
    <w:uiPriority w:val="99"/>
    <w:semiHidden/>
    <w:unhideWhenUsed/>
    <w:rsid w:val="00AB35AC"/>
    <w:rPr>
      <w:color w:val="0000FF"/>
      <w:u w:val="single"/>
    </w:rPr>
  </w:style>
  <w:style w:type="table" w:customStyle="1" w:styleId="TableGrid1">
    <w:name w:val="Table Grid1"/>
    <w:basedOn w:val="TableNormal"/>
    <w:next w:val="TableGrid"/>
    <w:uiPriority w:val="59"/>
    <w:rsid w:val="00266FFA"/>
    <w:rPr>
      <w:rFonts w:ascii="Arial" w:eastAsiaTheme="minorHAnsi" w:hAnsi="Arial" w:cs="Arial"/>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D6E1F"/>
    <w:rPr>
      <w:sz w:val="16"/>
      <w:szCs w:val="16"/>
    </w:rPr>
  </w:style>
  <w:style w:type="paragraph" w:styleId="CommentText">
    <w:name w:val="annotation text"/>
    <w:basedOn w:val="Normal"/>
    <w:link w:val="CommentTextChar"/>
    <w:uiPriority w:val="99"/>
    <w:semiHidden/>
    <w:unhideWhenUsed/>
    <w:rsid w:val="000D6E1F"/>
    <w:pPr>
      <w:spacing w:line="240" w:lineRule="auto"/>
    </w:pPr>
    <w:rPr>
      <w:sz w:val="20"/>
      <w:szCs w:val="20"/>
    </w:rPr>
  </w:style>
  <w:style w:type="character" w:customStyle="1" w:styleId="CommentTextChar">
    <w:name w:val="Comment Text Char"/>
    <w:basedOn w:val="DefaultParagraphFont"/>
    <w:link w:val="CommentText"/>
    <w:uiPriority w:val="99"/>
    <w:semiHidden/>
    <w:rsid w:val="000D6E1F"/>
  </w:style>
  <w:style w:type="paragraph" w:styleId="CommentSubject">
    <w:name w:val="annotation subject"/>
    <w:basedOn w:val="CommentText"/>
    <w:next w:val="CommentText"/>
    <w:link w:val="CommentSubjectChar"/>
    <w:uiPriority w:val="99"/>
    <w:semiHidden/>
    <w:unhideWhenUsed/>
    <w:rsid w:val="000D6E1F"/>
    <w:rPr>
      <w:b/>
      <w:bCs/>
    </w:rPr>
  </w:style>
  <w:style w:type="character" w:customStyle="1" w:styleId="CommentSubjectChar">
    <w:name w:val="Comment Subject Char"/>
    <w:basedOn w:val="CommentTextChar"/>
    <w:link w:val="CommentSubject"/>
    <w:uiPriority w:val="99"/>
    <w:semiHidden/>
    <w:rsid w:val="000D6E1F"/>
    <w:rPr>
      <w:b/>
      <w:bCs/>
    </w:rPr>
  </w:style>
  <w:style w:type="paragraph" w:styleId="Revision">
    <w:name w:val="Revision"/>
    <w:hidden/>
    <w:uiPriority w:val="99"/>
    <w:semiHidden/>
    <w:rsid w:val="004C03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bhart</dc:creator>
  <cp:lastModifiedBy>Cheryl Gross</cp:lastModifiedBy>
  <cp:revision>2</cp:revision>
  <dcterms:created xsi:type="dcterms:W3CDTF">2020-03-09T20:33:00Z</dcterms:created>
  <dcterms:modified xsi:type="dcterms:W3CDTF">2020-03-09T20:33:00Z</dcterms:modified>
</cp:coreProperties>
</file>